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41932" w14:textId="77777777" w:rsidR="00055CA8" w:rsidRDefault="00904072">
      <w:pPr>
        <w:spacing w:before="60"/>
      </w:pPr>
      <w:r>
        <w:rPr>
          <w:b/>
          <w:bCs/>
          <w:color w:val="005487"/>
          <w:spacing w:val="30"/>
          <w:sz w:val="18"/>
          <w:szCs w:val="18"/>
        </w:rPr>
        <w:t>IACUC × BIOSAFETY QUICK REFERENCE</w:t>
      </w:r>
    </w:p>
    <w:p w14:paraId="16B74957" w14:textId="77777777" w:rsidR="00055CA8" w:rsidRDefault="00904072">
      <w:pPr>
        <w:pStyle w:val="Title"/>
      </w:pPr>
      <w:r>
        <w:t>Animal Research &amp; IBC Review</w:t>
      </w:r>
    </w:p>
    <w:p w14:paraId="10854E99" w14:textId="77777777" w:rsidR="00055CA8" w:rsidRDefault="00904072">
      <w:pPr>
        <w:spacing w:before="70" w:after="40"/>
      </w:pPr>
      <w:r>
        <w:rPr>
          <w:b/>
          <w:bCs/>
          <w:sz w:val="22"/>
          <w:szCs w:val="22"/>
        </w:rPr>
        <w:t>A companion guide for the UC Merced IACUC: when an animal protocol also requires Institutional Biosafety Committee approval</w:t>
      </w:r>
    </w:p>
    <w:p w14:paraId="6524FBB4" w14:textId="77777777" w:rsidR="00055CA8" w:rsidRDefault="00904072">
      <w:pPr>
        <w:spacing w:after="20"/>
      </w:pPr>
      <w:r>
        <w:rPr>
          <w:color w:val="3A3A3A"/>
          <w:sz w:val="20"/>
          <w:szCs w:val="20"/>
        </w:rPr>
        <w:t>Use this to flag the animal protocols that must clear the IBC in parallel — recombinant or synthetic nucleic acids in animals, deliberate infection with pathogens or biohazards, and field work with zoonotic potential.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52C23377" w14:textId="77777777">
        <w:tc>
          <w:tcPr>
            <w:tcW w:w="9360" w:type="dxa"/>
            <w:tcBorders>
              <w:top w:val="none" w:sz="0" w:space="0" w:color="FFFFFF"/>
              <w:left w:val="none" w:sz="0" w:space="0" w:color="FFFFFF"/>
              <w:bottom w:val="none" w:sz="0" w:space="0" w:color="FFFFFF"/>
              <w:right w:val="none" w:sz="0" w:space="0" w:color="FFFFFF"/>
            </w:tcBorders>
            <w:shd w:val="clear" w:color="auto" w:fill="E3F3F6"/>
            <w:tcMar>
              <w:top w:w="120" w:type="dxa"/>
              <w:left w:w="220" w:type="dxa"/>
              <w:bottom w:w="120" w:type="dxa"/>
              <w:right w:w="200" w:type="dxa"/>
            </w:tcMar>
          </w:tcPr>
          <w:p w14:paraId="56D9041A" w14:textId="77777777" w:rsidR="00055CA8" w:rsidRDefault="00904072">
            <w:r>
              <w:rPr>
                <w:b/>
                <w:bCs/>
                <w:color w:val="002856"/>
                <w:sz w:val="18"/>
                <w:szCs w:val="18"/>
              </w:rPr>
              <w:t>Source authority</w:t>
            </w:r>
            <w:proofErr w:type="gramStart"/>
            <w:r>
              <w:rPr>
                <w:b/>
                <w:bCs/>
                <w:color w:val="002856"/>
                <w:sz w:val="18"/>
                <w:szCs w:val="18"/>
              </w:rPr>
              <w:t xml:space="preserve">:  </w:t>
            </w:r>
            <w:r>
              <w:rPr>
                <w:sz w:val="18"/>
                <w:szCs w:val="18"/>
              </w:rPr>
              <w:t>NIH</w:t>
            </w:r>
            <w:proofErr w:type="gramEnd"/>
            <w:r>
              <w:rPr>
                <w:sz w:val="18"/>
                <w:szCs w:val="18"/>
              </w:rPr>
              <w:t xml:space="preserve"> Guidelines for Research Involving Recombinant or Synthetic Nucleic Acid Molecules (April 2024); CDC/NIH Biosafety in Microbiological and Biomedical Laboratories (BMBL), 6th ed. (2020); OSHA Bloodborne Pathogens standard, 29 CFR 1910.1030.</w:t>
            </w:r>
          </w:p>
          <w:p w14:paraId="5E7F3FDF" w14:textId="77777777" w:rsidR="00055CA8" w:rsidRDefault="00904072">
            <w:pPr>
              <w:spacing w:before="40"/>
            </w:pPr>
            <w:r>
              <w:rPr>
                <w:b/>
                <w:bCs/>
                <w:color w:val="002856"/>
                <w:sz w:val="18"/>
                <w:szCs w:val="18"/>
              </w:rPr>
              <w:t>Prepared by</w:t>
            </w:r>
            <w:proofErr w:type="gramStart"/>
            <w:r>
              <w:rPr>
                <w:b/>
                <w:bCs/>
                <w:color w:val="002856"/>
                <w:sz w:val="18"/>
                <w:szCs w:val="18"/>
              </w:rPr>
              <w:t xml:space="preserve">:  </w:t>
            </w:r>
            <w:r>
              <w:rPr>
                <w:sz w:val="18"/>
                <w:szCs w:val="18"/>
              </w:rPr>
              <w:t>UC</w:t>
            </w:r>
            <w:proofErr w:type="gramEnd"/>
            <w:r>
              <w:rPr>
                <w:sz w:val="18"/>
                <w:szCs w:val="18"/>
              </w:rPr>
              <w:t xml:space="preserve"> Merced Environmental Health &amp; Safety — Biosafety Program.  For training and orientation use.</w:t>
            </w:r>
          </w:p>
        </w:tc>
      </w:tr>
    </w:tbl>
    <w:p w14:paraId="7F3D33D1" w14:textId="77777777" w:rsidR="00055CA8" w:rsidRDefault="00904072">
      <w:pPr>
        <w:pStyle w:val="Heading1"/>
      </w:pPr>
      <w:r>
        <w:t>Two Committees, Two Questions</w:t>
      </w:r>
    </w:p>
    <w:p w14:paraId="69F9E617" w14:textId="77777777" w:rsidR="00055CA8" w:rsidRDefault="00904072">
      <w:pPr>
        <w:spacing w:after="110" w:line="264" w:lineRule="auto"/>
      </w:pPr>
      <w:r>
        <w:t xml:space="preserve">Almost all research </w:t>
      </w:r>
      <w:proofErr w:type="gramStart"/>
      <w:r>
        <w:t>with</w:t>
      </w:r>
      <w:proofErr w:type="gramEnd"/>
      <w:r>
        <w:t xml:space="preserve"> live vertebrate animals needs </w:t>
      </w:r>
      <w:r>
        <w:rPr>
          <w:b/>
          <w:bCs/>
        </w:rPr>
        <w:t>IACUC</w:t>
      </w:r>
      <w:r>
        <w:t xml:space="preserve"> approval. A subset of that work </w:t>
      </w:r>
      <w:r>
        <w:rPr>
          <w:i/>
          <w:iCs/>
        </w:rPr>
        <w:t>also</w:t>
      </w:r>
      <w:r>
        <w:t xml:space="preserve"> needs </w:t>
      </w:r>
      <w:r>
        <w:rPr>
          <w:b/>
          <w:bCs/>
        </w:rPr>
        <w:t>IBC</w:t>
      </w:r>
      <w:r>
        <w:t xml:space="preserve"> approval — and the two reviews are independent and run in parallel. Neither substitutes for the other, and work may not begin until both are complete.</w:t>
      </w:r>
    </w:p>
    <w:p w14:paraId="32FCE24A" w14:textId="77777777" w:rsidR="00055CA8" w:rsidRDefault="00904072">
      <w:pPr>
        <w:pStyle w:val="ListParagraph"/>
        <w:numPr>
          <w:ilvl w:val="0"/>
          <w:numId w:val="2"/>
        </w:numPr>
        <w:spacing w:after="70" w:line="258" w:lineRule="auto"/>
      </w:pPr>
      <w:r>
        <w:rPr>
          <w:b/>
          <w:bCs/>
          <w:color w:val="002856"/>
        </w:rPr>
        <w:t xml:space="preserve">IACUC asks: </w:t>
      </w:r>
      <w:r>
        <w:t xml:space="preserve">is this use of animals humane, justified, and scientifically sound? (Animal welfare — PHS Policy, the </w:t>
      </w:r>
      <w:r>
        <w:rPr>
          <w:i/>
          <w:iCs/>
        </w:rPr>
        <w:t>Guide for the Care and Use of Laboratory Animals</w:t>
      </w:r>
      <w:r>
        <w:t>, and the Animal Welfare Act.)</w:t>
      </w:r>
    </w:p>
    <w:p w14:paraId="2A81F3DF" w14:textId="77777777" w:rsidR="00055CA8" w:rsidRDefault="00904072">
      <w:pPr>
        <w:pStyle w:val="ListParagraph"/>
        <w:numPr>
          <w:ilvl w:val="0"/>
          <w:numId w:val="2"/>
        </w:numPr>
        <w:spacing w:after="70" w:line="258" w:lineRule="auto"/>
      </w:pPr>
      <w:r>
        <w:rPr>
          <w:b/>
          <w:bCs/>
          <w:color w:val="002856"/>
        </w:rPr>
        <w:t xml:space="preserve">IBC asks: </w:t>
      </w:r>
      <w:r>
        <w:t>is this work biologically safe for personnel, the community, and the environment? (Biosafety — the NIH Guidelines, the BMBL, and OSHA.)</w:t>
      </w:r>
    </w:p>
    <w:p w14:paraId="56757452" w14:textId="77777777" w:rsidR="00055CA8" w:rsidRDefault="00904072">
      <w:pPr>
        <w:spacing w:after="110" w:line="264" w:lineRule="auto"/>
      </w:pPr>
      <w:r>
        <w:t xml:space="preserve">When animal work involves any of the three trigger families below, route it to the IBC as well. A practical division of labor: the </w:t>
      </w:r>
      <w:r>
        <w:rPr>
          <w:b/>
          <w:bCs/>
        </w:rPr>
        <w:t>IACUC</w:t>
      </w:r>
      <w:r>
        <w:t xml:space="preserve"> owns animal care and the protocol; the </w:t>
      </w:r>
      <w:r>
        <w:rPr>
          <w:b/>
          <w:bCs/>
        </w:rPr>
        <w:t>IBC</w:t>
      </w:r>
      <w:r>
        <w:t xml:space="preserve"> owns the hazard risk assessment and sets the </w:t>
      </w:r>
      <w:r>
        <w:rPr>
          <w:b/>
          <w:bCs/>
        </w:rPr>
        <w:t>animal biosafety level (ABSL)</w:t>
      </w:r>
      <w:r>
        <w:t>.</w:t>
      </w:r>
    </w:p>
    <w:p w14:paraId="72FC6479" w14:textId="77777777" w:rsidR="00055CA8" w:rsidRDefault="00904072">
      <w:pPr>
        <w:pStyle w:val="Heading2"/>
      </w:pPr>
      <w:r>
        <w:t>A note on which authority applies</w:t>
      </w:r>
    </w:p>
    <w:p w14:paraId="57A76B5E" w14:textId="77777777" w:rsidR="00055CA8" w:rsidRDefault="00904072">
      <w:pPr>
        <w:spacing w:after="110" w:line="264" w:lineRule="auto"/>
      </w:pPr>
      <w:r>
        <w:t>These triggers come from three different drivers, which is worth keeping straight when you explain a referral:</w:t>
      </w:r>
    </w:p>
    <w:p w14:paraId="4CCEE744" w14:textId="77777777" w:rsidR="00055CA8" w:rsidRDefault="00904072">
      <w:pPr>
        <w:pStyle w:val="ListParagraph"/>
        <w:numPr>
          <w:ilvl w:val="0"/>
          <w:numId w:val="2"/>
        </w:numPr>
        <w:spacing w:after="70" w:line="258" w:lineRule="auto"/>
      </w:pPr>
      <w:r>
        <w:rPr>
          <w:b/>
          <w:bCs/>
          <w:color w:val="002856"/>
        </w:rPr>
        <w:t xml:space="preserve">1. NIH Guidelines </w:t>
      </w:r>
      <w:r>
        <w:t xml:space="preserve">(mandatory, </w:t>
      </w:r>
      <w:proofErr w:type="gramStart"/>
      <w:r>
        <w:t>federal) —</w:t>
      </w:r>
      <w:proofErr w:type="gramEnd"/>
      <w:r>
        <w:t xml:space="preserve"> recombinant or synthetic nucleic acids in animals.</w:t>
      </w:r>
    </w:p>
    <w:p w14:paraId="388AE7AE" w14:textId="77777777" w:rsidR="00055CA8" w:rsidRDefault="00904072">
      <w:pPr>
        <w:pStyle w:val="ListParagraph"/>
        <w:numPr>
          <w:ilvl w:val="0"/>
          <w:numId w:val="2"/>
        </w:numPr>
        <w:spacing w:after="70" w:line="258" w:lineRule="auto"/>
      </w:pPr>
      <w:r>
        <w:rPr>
          <w:b/>
          <w:bCs/>
          <w:color w:val="002856"/>
        </w:rPr>
        <w:t xml:space="preserve">2. Institutional biosafety policy, the BMBL, and OSHA </w:t>
      </w:r>
      <w:r>
        <w:t>— infectious agents, biological toxins, and human- or primate-derived materials in animals.</w:t>
      </w:r>
    </w:p>
    <w:p w14:paraId="43E6DF18" w14:textId="77777777" w:rsidR="00055CA8" w:rsidRDefault="00904072">
      <w:pPr>
        <w:pStyle w:val="ListParagraph"/>
        <w:numPr>
          <w:ilvl w:val="0"/>
          <w:numId w:val="2"/>
        </w:numPr>
        <w:spacing w:after="70" w:line="258" w:lineRule="auto"/>
      </w:pPr>
      <w:r>
        <w:rPr>
          <w:b/>
          <w:bCs/>
          <w:color w:val="002856"/>
        </w:rPr>
        <w:t xml:space="preserve">3. Biosafety and occupational-health risk assessment </w:t>
      </w:r>
      <w:r>
        <w:t>— field or wild-caught animals with zoonotic potential. (The NIH Guidelines do not reach naturally occurring agents.)</w:t>
      </w:r>
    </w:p>
    <w:p w14:paraId="0B09703E" w14:textId="77777777" w:rsidR="00055CA8" w:rsidRDefault="00904072">
      <w:pPr>
        <w:pStyle w:val="Heading1"/>
      </w:pPr>
      <w:r>
        <w:t>Trigger 1 — Recombinant or Synthetic Nucleic Acids in Animals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67360EE9" w14:textId="77777777">
        <w:tc>
          <w:tcPr>
            <w:tcW w:w="9360" w:type="dxa"/>
            <w:tcBorders>
              <w:top w:val="none" w:sz="0" w:space="0" w:color="FFFFFF"/>
              <w:left w:val="single" w:sz="26" w:space="0" w:color="DAA900"/>
              <w:bottom w:val="none" w:sz="0" w:space="0" w:color="FFFFFF"/>
              <w:right w:val="none" w:sz="0" w:space="0" w:color="FFFFFF"/>
            </w:tcBorders>
            <w:shd w:val="clear" w:color="auto" w:fill="F6E9D7"/>
            <w:tcMar>
              <w:top w:w="120" w:type="dxa"/>
              <w:left w:w="220" w:type="dxa"/>
              <w:bottom w:w="120" w:type="dxa"/>
              <w:right w:w="200" w:type="dxa"/>
            </w:tcMar>
          </w:tcPr>
          <w:p w14:paraId="0423A9CF" w14:textId="77777777" w:rsidR="00055CA8" w:rsidRDefault="00904072">
            <w:pPr>
              <w:spacing w:line="258" w:lineRule="auto"/>
            </w:pPr>
            <w:r>
              <w:rPr>
                <w:b/>
                <w:bCs/>
                <w:color w:val="002856"/>
              </w:rPr>
              <w:t>Review trigger</w:t>
            </w:r>
            <w:proofErr w:type="gramStart"/>
            <w:r>
              <w:rPr>
                <w:b/>
                <w:bCs/>
                <w:color w:val="002856"/>
              </w:rPr>
              <w:t xml:space="preserve">:  </w:t>
            </w:r>
            <w:r>
              <w:t>IBC</w:t>
            </w:r>
            <w:proofErr w:type="gramEnd"/>
            <w:r>
              <w:t xml:space="preserve"> approval before initiation for III-D-4 and III-D-8 work; IBC notice at initiation for III-E-3 (BL1 transgenic rodents). This is a mandatory federal requirement under the NIH Guidelines.</w:t>
            </w:r>
          </w:p>
        </w:tc>
      </w:tr>
    </w:tbl>
    <w:p w14:paraId="1FE70100" w14:textId="77777777" w:rsidR="00055CA8" w:rsidRDefault="00055CA8">
      <w:pPr>
        <w:spacing w:after="60"/>
      </w:pPr>
    </w:p>
    <w:p w14:paraId="7C1E163E" w14:textId="77777777" w:rsidR="00055CA8" w:rsidRDefault="00904072">
      <w:pPr>
        <w:pStyle w:val="Heading2"/>
      </w:pPr>
      <w:r>
        <w:t>What the Guidelines say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0A27DD78" w14:textId="77777777">
        <w:tc>
          <w:tcPr>
            <w:tcW w:w="9360" w:type="dxa"/>
            <w:tcBorders>
              <w:top w:val="none" w:sz="0" w:space="0" w:color="FFFFFF"/>
              <w:left w:val="single" w:sz="26" w:space="0" w:color="002856"/>
              <w:bottom w:val="none" w:sz="0" w:space="0" w:color="FFFFFF"/>
              <w:right w:val="none" w:sz="0" w:space="0" w:color="FFFFFF"/>
            </w:tcBorders>
            <w:shd w:val="clear" w:color="auto" w:fill="EFEFEF"/>
            <w:tcMar>
              <w:top w:w="120" w:type="dxa"/>
              <w:left w:w="220" w:type="dxa"/>
              <w:bottom w:w="120" w:type="dxa"/>
              <w:right w:w="200" w:type="dxa"/>
            </w:tcMar>
          </w:tcPr>
          <w:p w14:paraId="29484009" w14:textId="77777777" w:rsidR="00055CA8" w:rsidRDefault="00904072">
            <w:pPr>
              <w:spacing w:after="70"/>
            </w:pPr>
            <w:r>
              <w:rPr>
                <w:b/>
                <w:bCs/>
                <w:color w:val="002856"/>
                <w:sz w:val="18"/>
                <w:szCs w:val="18"/>
              </w:rPr>
              <w:t>NIH Guidelines, Section III-D-4 (Experiments Involving Whole Animals)</w:t>
            </w:r>
          </w:p>
          <w:p w14:paraId="53CD6851" w14:textId="77777777" w:rsidR="00055CA8" w:rsidRDefault="00904072">
            <w:pPr>
              <w:spacing w:line="258" w:lineRule="auto"/>
            </w:pPr>
            <w:r>
              <w:rPr>
                <w:i/>
                <w:iCs/>
              </w:rPr>
              <w:t xml:space="preserve">This section covers experiments involving deliberate transfer of recombinant or synthetic nucleic acid molecules, DNA or RNA derived from recombinant or synthetic nucleic acid molecules, or recombinant or synthetic nucleic acid molecule-modified microorganisms into whole animals and experiments involving </w:t>
            </w:r>
            <w:r>
              <w:rPr>
                <w:i/>
                <w:iCs/>
              </w:rPr>
              <w:lastRenderedPageBreak/>
              <w:t>whole animals in which the animal's genome has been altered … into the germ-line (transgenic animals). Experiments involving gene drive modified animals or experiments involving viable recombinant or synthetic nucleic acid molecule-modified microorganisms, except for viruses that are only vertically transmitted, may not be conducted at BL1-N containment. A minimum containment of BL2 or BL2-N is required (see Section III-D-8).</w:t>
            </w:r>
          </w:p>
        </w:tc>
      </w:tr>
      <w:tr w:rsidR="00055CA8" w14:paraId="0B66676D" w14:textId="77777777">
        <w:tc>
          <w:tcPr>
            <w:tcW w:w="9360" w:type="dxa"/>
            <w:tcBorders>
              <w:top w:val="none" w:sz="0" w:space="0" w:color="FFFFFF"/>
              <w:left w:val="single" w:sz="26" w:space="0" w:color="002856"/>
              <w:bottom w:val="none" w:sz="0" w:space="0" w:color="FFFFFF"/>
              <w:right w:val="none" w:sz="0" w:space="0" w:color="FFFFFF"/>
            </w:tcBorders>
            <w:shd w:val="clear" w:color="auto" w:fill="EFEFEF"/>
            <w:tcMar>
              <w:top w:w="120" w:type="dxa"/>
              <w:left w:w="220" w:type="dxa"/>
              <w:bottom w:w="120" w:type="dxa"/>
              <w:right w:w="200" w:type="dxa"/>
            </w:tcMar>
          </w:tcPr>
          <w:p w14:paraId="3668099B" w14:textId="77777777" w:rsidR="00055CA8" w:rsidRDefault="00904072">
            <w:pPr>
              <w:spacing w:after="70"/>
            </w:pPr>
            <w:r>
              <w:rPr>
                <w:b/>
                <w:bCs/>
                <w:color w:val="002856"/>
                <w:sz w:val="18"/>
                <w:szCs w:val="18"/>
              </w:rPr>
              <w:lastRenderedPageBreak/>
              <w:t>NIH Guidelines, Section III-E-3 (Transgenic Rodents)</w:t>
            </w:r>
          </w:p>
          <w:p w14:paraId="50453DF3" w14:textId="77777777" w:rsidR="00055CA8" w:rsidRDefault="00904072">
            <w:pPr>
              <w:spacing w:line="258" w:lineRule="auto"/>
            </w:pPr>
            <w:r>
              <w:rPr>
                <w:i/>
                <w:iCs/>
              </w:rPr>
              <w:t>Only experiments that require BL1 containment are covered under this section; experiments that require BL2, BL3, or BL4 containment are covered under Section III-D-4 … or Section III-D-8 …</w:t>
            </w:r>
          </w:p>
        </w:tc>
      </w:tr>
    </w:tbl>
    <w:p w14:paraId="729A7365" w14:textId="77777777" w:rsidR="00055CA8" w:rsidRDefault="00904072">
      <w:pPr>
        <w:pStyle w:val="Heading2"/>
      </w:pPr>
      <w:r>
        <w:t>What it means</w:t>
      </w:r>
    </w:p>
    <w:p w14:paraId="2A49EFBD" w14:textId="77777777" w:rsidR="00055CA8" w:rsidRDefault="00904072">
      <w:pPr>
        <w:spacing w:after="110" w:line="264" w:lineRule="auto"/>
      </w:pPr>
      <w:r>
        <w:t>If a study puts engineered nucleic acids into an animal — or creates an animal whose germline carries them — the IBC is in the loop. The containment level depends on what is introduced and how it behaves; transgenic rodents that can be housed at BL1 are the lighter-touch case (notice, III-E-3), while vectors, modified microorganisms, gene drives, and anything needing above-BL1 housing require approval before initiation (III-D-4 / III-D-8).</w:t>
      </w:r>
    </w:p>
    <w:p w14:paraId="717EFDD9" w14:textId="77777777" w:rsidR="00055CA8" w:rsidRDefault="00904072">
      <w:pPr>
        <w:pStyle w:val="Heading2"/>
      </w:pPr>
      <w:r>
        <w:t>Examples</w:t>
      </w:r>
    </w:p>
    <w:p w14:paraId="2FDD6605" w14:textId="77777777" w:rsidR="00055CA8" w:rsidRDefault="00904072">
      <w:pPr>
        <w:pStyle w:val="ListParagraph"/>
        <w:numPr>
          <w:ilvl w:val="0"/>
          <w:numId w:val="2"/>
        </w:numPr>
        <w:spacing w:after="70" w:line="258" w:lineRule="auto"/>
      </w:pPr>
      <w:r>
        <w:rPr>
          <w:b/>
          <w:bCs/>
        </w:rPr>
        <w:t>Viral-vector delivery.</w:t>
      </w:r>
      <w:r>
        <w:t xml:space="preserve"> Administering an AAV, lentiviral, adenoviral, or retroviral vector to mice (III-D-4; commonly ABSL-1 or ABSL-2 depending on the vector).</w:t>
      </w:r>
    </w:p>
    <w:p w14:paraId="5B9F8EC7" w14:textId="77777777" w:rsidR="00055CA8" w:rsidRDefault="00904072">
      <w:pPr>
        <w:pStyle w:val="ListParagraph"/>
        <w:numPr>
          <w:ilvl w:val="0"/>
          <w:numId w:val="2"/>
        </w:numPr>
        <w:spacing w:after="70" w:line="258" w:lineRule="auto"/>
      </w:pPr>
      <w:r>
        <w:rPr>
          <w:b/>
          <w:bCs/>
        </w:rPr>
        <w:t>Transgenic animals above BL1.</w:t>
      </w:r>
      <w:r>
        <w:t xml:space="preserve"> Generating or using a transgenic line that requires ABSL-2 — for example, one carrying more than half of an exogenous viral genome (III-D-4).</w:t>
      </w:r>
    </w:p>
    <w:p w14:paraId="133554A4" w14:textId="23531C93" w:rsidR="00055CA8" w:rsidRDefault="00904072">
      <w:pPr>
        <w:pStyle w:val="ListParagraph"/>
        <w:numPr>
          <w:ilvl w:val="0"/>
          <w:numId w:val="2"/>
        </w:numPr>
        <w:spacing w:after="70" w:line="258" w:lineRule="auto"/>
      </w:pPr>
      <w:r>
        <w:rPr>
          <w:b/>
          <w:bCs/>
        </w:rPr>
        <w:t>Gene-drive animals.</w:t>
      </w:r>
      <w:r>
        <w:t xml:space="preserve"> Generating or using gene-drive modified animals — minimum ABSL-2 (III-D-8).</w:t>
      </w:r>
    </w:p>
    <w:p w14:paraId="7FFCE414" w14:textId="77777777" w:rsidR="00055CA8" w:rsidRDefault="00904072">
      <w:pPr>
        <w:pStyle w:val="ListParagraph"/>
        <w:numPr>
          <w:ilvl w:val="0"/>
          <w:numId w:val="2"/>
        </w:numPr>
        <w:spacing w:after="70" w:line="258" w:lineRule="auto"/>
      </w:pPr>
      <w:r>
        <w:rPr>
          <w:b/>
          <w:bCs/>
        </w:rPr>
        <w:t>Modified microorganisms in animals.</w:t>
      </w:r>
      <w:r>
        <w:t xml:space="preserve"> Infecting animals with a recombinant or synthetic nucleic acid–modified microorganism (III-D-4; minimum BL2/BL2-N unless only vertically transmitted).</w:t>
      </w:r>
    </w:p>
    <w:p w14:paraId="23C6BE91" w14:textId="77777777" w:rsidR="00055CA8" w:rsidRDefault="00904072">
      <w:pPr>
        <w:pStyle w:val="Heading2"/>
      </w:pPr>
      <w:r>
        <w:t>Watch out for</w:t>
      </w:r>
    </w:p>
    <w:p w14:paraId="1A89785A" w14:textId="77777777" w:rsidR="00055CA8" w:rsidRDefault="00904072">
      <w:pPr>
        <w:pStyle w:val="ListParagraph"/>
        <w:numPr>
          <w:ilvl w:val="0"/>
          <w:numId w:val="2"/>
        </w:numPr>
        <w:spacing w:after="70" w:line="258" w:lineRule="auto"/>
      </w:pPr>
      <w:r>
        <w:t>Purchasing or transferring an existing BL1 transgenic rodent, and BL1-only breeding, can be exempt (III-F; Appendix C-VII and C-</w:t>
      </w:r>
      <w:proofErr w:type="gramStart"/>
      <w:r>
        <w:t>VIII) —</w:t>
      </w:r>
      <w:proofErr w:type="gramEnd"/>
      <w:r>
        <w:t xml:space="preserve"> but any further hazardous manipulation is not automatically exempt, and UC Merced typically still registers the work. Confirm with EH&amp;S.</w:t>
      </w:r>
    </w:p>
    <w:p w14:paraId="26DAC699" w14:textId="77777777" w:rsidR="00055CA8" w:rsidRDefault="00904072">
      <w:pPr>
        <w:pStyle w:val="ListParagraph"/>
        <w:numPr>
          <w:ilvl w:val="0"/>
          <w:numId w:val="2"/>
        </w:numPr>
        <w:spacing w:after="70" w:line="258" w:lineRule="auto"/>
      </w:pPr>
      <w:r>
        <w:t>A transgenic line is not automatically BL1. Viral elements, hazardous transgene products, or gammaretroviral LTR–driven transgenes can push it to III-D-4 and ABSL-2.</w:t>
      </w:r>
    </w:p>
    <w:p w14:paraId="3201B460" w14:textId="77777777" w:rsidR="00055CA8" w:rsidRDefault="00904072">
      <w:pPr>
        <w:pStyle w:val="Heading1"/>
      </w:pPr>
      <w:r>
        <w:t>Trigger 2 — Infectious Agents &amp; Biohazards Introduced into Animals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4BD6F033" w14:textId="77777777">
        <w:tc>
          <w:tcPr>
            <w:tcW w:w="9360" w:type="dxa"/>
            <w:tcBorders>
              <w:top w:val="none" w:sz="0" w:space="0" w:color="FFFFFF"/>
              <w:left w:val="single" w:sz="26" w:space="0" w:color="DAA900"/>
              <w:bottom w:val="none" w:sz="0" w:space="0" w:color="FFFFFF"/>
              <w:right w:val="none" w:sz="0" w:space="0" w:color="FFFFFF"/>
            </w:tcBorders>
            <w:shd w:val="clear" w:color="auto" w:fill="F6E9D7"/>
            <w:tcMar>
              <w:top w:w="120" w:type="dxa"/>
              <w:left w:w="220" w:type="dxa"/>
              <w:bottom w:w="120" w:type="dxa"/>
              <w:right w:w="200" w:type="dxa"/>
            </w:tcMar>
          </w:tcPr>
          <w:p w14:paraId="067183B8" w14:textId="77777777" w:rsidR="00055CA8" w:rsidRDefault="00904072">
            <w:pPr>
              <w:spacing w:line="258" w:lineRule="auto"/>
            </w:pPr>
            <w:r>
              <w:rPr>
                <w:b/>
                <w:bCs/>
                <w:color w:val="002856"/>
              </w:rPr>
              <w:t>Review trigger</w:t>
            </w:r>
            <w:proofErr w:type="gramStart"/>
            <w:r>
              <w:rPr>
                <w:b/>
                <w:bCs/>
                <w:color w:val="002856"/>
              </w:rPr>
              <w:t xml:space="preserve">:  </w:t>
            </w:r>
            <w:r>
              <w:t>IBC</w:t>
            </w:r>
            <w:proofErr w:type="gramEnd"/>
            <w:r>
              <w:t xml:space="preserve"> registration and approval before initiation. The IBC sets the ABSL (minimum ABSL-2 for Risk Group 2+ agents). Driven by UC Merced biosafety policy and the BMBL; the NIH Guidelines also apply when the agent or vector is recombinant.</w:t>
            </w:r>
          </w:p>
        </w:tc>
      </w:tr>
    </w:tbl>
    <w:p w14:paraId="0FC9C3E0" w14:textId="77777777" w:rsidR="00055CA8" w:rsidRDefault="00055CA8">
      <w:pPr>
        <w:spacing w:after="60"/>
      </w:pPr>
    </w:p>
    <w:p w14:paraId="4A6C18B4" w14:textId="77777777" w:rsidR="00055CA8" w:rsidRDefault="00904072">
      <w:pPr>
        <w:pStyle w:val="Heading2"/>
      </w:pPr>
      <w:r>
        <w:t>What it means</w:t>
      </w:r>
    </w:p>
    <w:p w14:paraId="2FFC914D" w14:textId="77777777" w:rsidR="00055CA8" w:rsidRDefault="00904072">
      <w:pPr>
        <w:spacing w:after="110" w:line="264" w:lineRule="auto"/>
      </w:pPr>
      <w:r>
        <w:t>Deliberately exposing an animal to a biological hazard creates risks the IACUC review is not designed to evaluate — shedding, aerosols, bites and scratches, contaminated bedding, and necropsy exposure. The IBC reviews the agent, the procedures, and the housing, and assigns the animal biosafety level. The NIH Guidelines anchor containment when the agent is recombinant: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23A86C2E" w14:textId="77777777">
        <w:tc>
          <w:tcPr>
            <w:tcW w:w="9360" w:type="dxa"/>
            <w:tcBorders>
              <w:top w:val="none" w:sz="0" w:space="0" w:color="FFFFFF"/>
              <w:left w:val="single" w:sz="26" w:space="0" w:color="002856"/>
              <w:bottom w:val="none" w:sz="0" w:space="0" w:color="FFFFFF"/>
              <w:right w:val="none" w:sz="0" w:space="0" w:color="FFFFFF"/>
            </w:tcBorders>
            <w:shd w:val="clear" w:color="auto" w:fill="EFEFEF"/>
            <w:tcMar>
              <w:top w:w="120" w:type="dxa"/>
              <w:left w:w="220" w:type="dxa"/>
              <w:bottom w:w="120" w:type="dxa"/>
              <w:right w:w="200" w:type="dxa"/>
            </w:tcMar>
          </w:tcPr>
          <w:p w14:paraId="075EFDA2" w14:textId="77777777" w:rsidR="00055CA8" w:rsidRDefault="00904072">
            <w:pPr>
              <w:spacing w:after="70"/>
            </w:pPr>
            <w:r>
              <w:rPr>
                <w:b/>
                <w:bCs/>
                <w:color w:val="002856"/>
                <w:sz w:val="18"/>
                <w:szCs w:val="18"/>
              </w:rPr>
              <w:lastRenderedPageBreak/>
              <w:t>NIH Guidelines, Section III-D-1 (agents in whole animals)</w:t>
            </w:r>
          </w:p>
          <w:p w14:paraId="6234EE57" w14:textId="77777777" w:rsidR="00055CA8" w:rsidRDefault="00904072">
            <w:pPr>
              <w:spacing w:line="258" w:lineRule="auto"/>
            </w:pPr>
            <w:r>
              <w:rPr>
                <w:i/>
                <w:iCs/>
              </w:rPr>
              <w:t>Experiments involving the introduction of recombinant or synthetic nucleic acid molecules into Risk Group 2 agents … will usually be conducted with whole animals at BL2 or BL2-N (Animals) containment. … Risk Group 3 agents … at BL3 or BL3-N … Risk Group 4 agents … shall be conducted with whole animals at BL4 or BL4-N containment.</w:t>
            </w:r>
          </w:p>
        </w:tc>
      </w:tr>
    </w:tbl>
    <w:p w14:paraId="0F4ADBC2" w14:textId="77777777" w:rsidR="00055CA8" w:rsidRDefault="00904072">
      <w:pPr>
        <w:spacing w:after="110" w:line="264" w:lineRule="auto"/>
      </w:pPr>
      <w:r>
        <w:t>For non-recombinant agents, the parallel framework is the BMBL’s ABSL-1 through ABSL-4 and a documented risk assessment.</w:t>
      </w:r>
    </w:p>
    <w:p w14:paraId="45DD5A0C" w14:textId="77777777" w:rsidR="00055CA8" w:rsidRDefault="00904072">
      <w:pPr>
        <w:pStyle w:val="Heading2"/>
      </w:pPr>
      <w:r>
        <w:t>What counts</w:t>
      </w:r>
    </w:p>
    <w:p w14:paraId="57D45D84" w14:textId="77777777" w:rsidR="00055CA8" w:rsidRDefault="00904072">
      <w:pPr>
        <w:pStyle w:val="ListParagraph"/>
        <w:numPr>
          <w:ilvl w:val="0"/>
          <w:numId w:val="2"/>
        </w:numPr>
        <w:spacing w:after="70" w:line="258" w:lineRule="auto"/>
      </w:pPr>
      <w:r>
        <w:rPr>
          <w:b/>
          <w:bCs/>
        </w:rPr>
        <w:t>Pathogens.</w:t>
      </w:r>
      <w:r>
        <w:t xml:space="preserve"> Deliberate infection with a Risk Group 2+ bacterium, virus, fungus, parasite, or </w:t>
      </w:r>
      <w:proofErr w:type="gramStart"/>
      <w:r>
        <w:t>prion —</w:t>
      </w:r>
      <w:proofErr w:type="gramEnd"/>
      <w:r>
        <w:t xml:space="preserve"> or with a viral vector.</w:t>
      </w:r>
    </w:p>
    <w:p w14:paraId="09148505" w14:textId="77777777" w:rsidR="00055CA8" w:rsidRDefault="00904072">
      <w:pPr>
        <w:pStyle w:val="ListParagraph"/>
        <w:numPr>
          <w:ilvl w:val="0"/>
          <w:numId w:val="2"/>
        </w:numPr>
        <w:spacing w:after="70" w:line="258" w:lineRule="auto"/>
      </w:pPr>
      <w:r>
        <w:rPr>
          <w:b/>
          <w:bCs/>
        </w:rPr>
        <w:t>Human or non-human-primate materials.</w:t>
      </w:r>
      <w:r>
        <w:t xml:space="preserve"> Administering human/NHP cells, tissues, blood, body fluids, established cell lines, or creating patient-derived xenograft (PDX) or humanized models. These carry bloodborne-pathogen and adventitious-agent risk and are reviewed under OSHA’s standard even though no pathogen is intentionally introduced — typically ABSL-2.</w:t>
      </w:r>
    </w:p>
    <w:p w14:paraId="733FD227" w14:textId="77777777" w:rsidR="00055CA8" w:rsidRDefault="00904072">
      <w:pPr>
        <w:pStyle w:val="ListParagraph"/>
        <w:numPr>
          <w:ilvl w:val="0"/>
          <w:numId w:val="2"/>
        </w:numPr>
        <w:spacing w:after="70" w:line="258" w:lineRule="auto"/>
      </w:pPr>
      <w:r>
        <w:rPr>
          <w:b/>
          <w:bCs/>
        </w:rPr>
        <w:t>Biological toxins.</w:t>
      </w:r>
      <w:r>
        <w:t xml:space="preserve"> Administering a biological toxin to animals (high-potency toxins with an LD50 &lt; 100 ng/kg also </w:t>
      </w:r>
      <w:proofErr w:type="gramStart"/>
      <w:r>
        <w:t>implicate</w:t>
      </w:r>
      <w:proofErr w:type="gramEnd"/>
      <w:r>
        <w:t xml:space="preserve"> NIH Section III-B).</w:t>
      </w:r>
    </w:p>
    <w:p w14:paraId="02A8909D" w14:textId="77777777" w:rsidR="00055CA8" w:rsidRDefault="00904072">
      <w:pPr>
        <w:pStyle w:val="Heading2"/>
      </w:pPr>
      <w:r>
        <w:t>Examples</w:t>
      </w:r>
    </w:p>
    <w:p w14:paraId="17C07E86" w14:textId="77777777" w:rsidR="00055CA8" w:rsidRDefault="00904072">
      <w:pPr>
        <w:pStyle w:val="ListParagraph"/>
        <w:numPr>
          <w:ilvl w:val="0"/>
          <w:numId w:val="2"/>
        </w:numPr>
        <w:spacing w:after="70" w:line="258" w:lineRule="auto"/>
      </w:pPr>
      <w:r>
        <w:t xml:space="preserve">Infecting mice with </w:t>
      </w:r>
      <w:r>
        <w:rPr>
          <w:i/>
          <w:iCs/>
        </w:rPr>
        <w:t xml:space="preserve">Salmonella </w:t>
      </w:r>
      <w:proofErr w:type="gramStart"/>
      <w:r>
        <w:rPr>
          <w:i/>
          <w:iCs/>
        </w:rPr>
        <w:t>enterica</w:t>
      </w:r>
      <w:r>
        <w:t xml:space="preserve"> serovar</w:t>
      </w:r>
      <w:proofErr w:type="gramEnd"/>
      <w:r>
        <w:t xml:space="preserve"> Typhimurium (</w:t>
      </w:r>
      <w:proofErr w:type="gramStart"/>
      <w:r>
        <w:t>RG2) —</w:t>
      </w:r>
      <w:proofErr w:type="gramEnd"/>
      <w:r>
        <w:t xml:space="preserve"> ABSL-2.</w:t>
      </w:r>
    </w:p>
    <w:p w14:paraId="4EC2A9F5" w14:textId="77777777" w:rsidR="00055CA8" w:rsidRDefault="00904072">
      <w:pPr>
        <w:pStyle w:val="ListParagraph"/>
        <w:numPr>
          <w:ilvl w:val="0"/>
          <w:numId w:val="2"/>
        </w:numPr>
        <w:spacing w:after="70" w:line="258" w:lineRule="auto"/>
      </w:pPr>
      <w:r>
        <w:t xml:space="preserve">A </w:t>
      </w:r>
      <w:r>
        <w:rPr>
          <w:i/>
          <w:iCs/>
        </w:rPr>
        <w:t>Mycobacterium tuberculosis</w:t>
      </w:r>
      <w:r>
        <w:t xml:space="preserve"> (RG3) aerosol-challenge model — ABSL-3.</w:t>
      </w:r>
    </w:p>
    <w:p w14:paraId="1CFEED3B" w14:textId="77777777" w:rsidR="00055CA8" w:rsidRDefault="00904072">
      <w:pPr>
        <w:pStyle w:val="ListParagraph"/>
        <w:numPr>
          <w:ilvl w:val="0"/>
          <w:numId w:val="2"/>
        </w:numPr>
        <w:spacing w:after="70" w:line="258" w:lineRule="auto"/>
      </w:pPr>
      <w:r>
        <w:t>Implanting a human tumor cell line into immunodeficient mice (</w:t>
      </w:r>
      <w:proofErr w:type="gramStart"/>
      <w:r>
        <w:t>PDX) —</w:t>
      </w:r>
      <w:proofErr w:type="gramEnd"/>
      <w:r>
        <w:t xml:space="preserve"> ABSL-2 under the OSHA bloodborne-pathogens standard.</w:t>
      </w:r>
    </w:p>
    <w:p w14:paraId="7ADFA003" w14:textId="77777777" w:rsidR="00055CA8" w:rsidRDefault="00904072">
      <w:pPr>
        <w:pStyle w:val="Heading2"/>
      </w:pPr>
      <w:r>
        <w:t>Watch out for</w:t>
      </w:r>
    </w:p>
    <w:p w14:paraId="700A7A0A" w14:textId="77777777" w:rsidR="00055CA8" w:rsidRDefault="00904072">
      <w:pPr>
        <w:pStyle w:val="ListParagraph"/>
        <w:numPr>
          <w:ilvl w:val="0"/>
          <w:numId w:val="2"/>
        </w:numPr>
        <w:spacing w:after="70" w:line="258" w:lineRule="auto"/>
      </w:pPr>
      <w:r>
        <w:t xml:space="preserve">Human cell lines and tissues in animals are the </w:t>
      </w:r>
      <w:proofErr w:type="gramStart"/>
      <w:r>
        <w:t>most commonly missed</w:t>
      </w:r>
      <w:proofErr w:type="gramEnd"/>
      <w:r>
        <w:t xml:space="preserve"> IBC trigger — investigators often think of them as “just a model,” not a biohazard. Preparation, administration, and necropsy of unfixed tissues are ABSL-2 activities.</w:t>
      </w:r>
    </w:p>
    <w:p w14:paraId="5CF8C1A6" w14:textId="77777777" w:rsidR="00055CA8" w:rsidRDefault="00904072">
      <w:pPr>
        <w:pStyle w:val="Heading1"/>
      </w:pPr>
      <w:r>
        <w:t>Trigger 3 — Field &amp; Wild-Caught Animals with Zoonotic Potential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395FD363" w14:textId="77777777">
        <w:tc>
          <w:tcPr>
            <w:tcW w:w="9360" w:type="dxa"/>
            <w:tcBorders>
              <w:top w:val="none" w:sz="0" w:space="0" w:color="FFFFFF"/>
              <w:left w:val="single" w:sz="26" w:space="0" w:color="DAA900"/>
              <w:bottom w:val="none" w:sz="0" w:space="0" w:color="FFFFFF"/>
              <w:right w:val="none" w:sz="0" w:space="0" w:color="FFFFFF"/>
            </w:tcBorders>
            <w:shd w:val="clear" w:color="auto" w:fill="F6E9D7"/>
            <w:tcMar>
              <w:top w:w="120" w:type="dxa"/>
              <w:left w:w="220" w:type="dxa"/>
              <w:bottom w:w="120" w:type="dxa"/>
              <w:right w:w="200" w:type="dxa"/>
            </w:tcMar>
          </w:tcPr>
          <w:p w14:paraId="4E29EC6C" w14:textId="77777777" w:rsidR="00055CA8" w:rsidRDefault="00904072">
            <w:pPr>
              <w:spacing w:line="258" w:lineRule="auto"/>
            </w:pPr>
            <w:r>
              <w:rPr>
                <w:b/>
                <w:bCs/>
                <w:color w:val="002856"/>
              </w:rPr>
              <w:t>Review trigger</w:t>
            </w:r>
            <w:proofErr w:type="gramStart"/>
            <w:r>
              <w:rPr>
                <w:b/>
                <w:bCs/>
                <w:color w:val="002856"/>
              </w:rPr>
              <w:t xml:space="preserve">:  </w:t>
            </w:r>
            <w:r>
              <w:t>IBC</w:t>
            </w:r>
            <w:proofErr w:type="gramEnd"/>
            <w:r>
              <w:t xml:space="preserve"> review of the field, sampling, and necropsy risk assessment, with occupational-health enrollment, when capturing or handling wild animals that have a high probability of harboring a zoonotic disease. Driven by biosafety and occupational-health obligations — not the NIH Guidelines.</w:t>
            </w:r>
          </w:p>
        </w:tc>
      </w:tr>
    </w:tbl>
    <w:p w14:paraId="2C3D42E0" w14:textId="77777777" w:rsidR="00055CA8" w:rsidRDefault="00055CA8">
      <w:pPr>
        <w:spacing w:after="60"/>
      </w:pPr>
    </w:p>
    <w:p w14:paraId="453B50E9" w14:textId="77777777" w:rsidR="00055CA8" w:rsidRDefault="00904072">
      <w:pPr>
        <w:pStyle w:val="Heading2"/>
      </w:pPr>
      <w:r>
        <w:t>What it means</w:t>
      </w:r>
    </w:p>
    <w:p w14:paraId="0F9BC3B4" w14:textId="77777777" w:rsidR="00055CA8" w:rsidRDefault="00904072">
      <w:pPr>
        <w:spacing w:after="110" w:line="264" w:lineRule="auto"/>
      </w:pPr>
      <w:r>
        <w:t xml:space="preserve">Here the hazard is naturally occurring rather than introduced, so it falls outside the NIH Guidelines — but the exposure risk to field teams is real and the IBC reviews it. The trigger is the </w:t>
      </w:r>
      <w:r>
        <w:rPr>
          <w:i/>
          <w:iCs/>
        </w:rPr>
        <w:t>probability of carriage</w:t>
      </w:r>
      <w:r>
        <w:t>, not intent: if the species, setting, or procedure makes zoonotic exposure likely, the protocol needs a biosafety risk assessment, defined PPE and field SOPs, sample-handling and transport controls, and occupational-health surveillance (including any indicated vaccination, such as pre-exposure rabies for bat workers).</w:t>
      </w:r>
    </w:p>
    <w:p w14:paraId="65AF87B0" w14:textId="77777777" w:rsidR="00055CA8" w:rsidRDefault="00904072">
      <w:pPr>
        <w:pStyle w:val="Heading2"/>
      </w:pPr>
      <w:r>
        <w:t>California-relevant examples</w:t>
      </w:r>
    </w:p>
    <w:p w14:paraId="19F546BA" w14:textId="77777777" w:rsidR="00055CA8" w:rsidRDefault="00904072">
      <w:pPr>
        <w:pStyle w:val="ListParagraph"/>
        <w:numPr>
          <w:ilvl w:val="0"/>
          <w:numId w:val="2"/>
        </w:numPr>
        <w:spacing w:after="70" w:line="258" w:lineRule="auto"/>
      </w:pPr>
      <w:r>
        <w:rPr>
          <w:b/>
          <w:bCs/>
        </w:rPr>
        <w:t>Bats</w:t>
      </w:r>
      <w:r>
        <w:t xml:space="preserve"> — rabies and other </w:t>
      </w:r>
      <w:proofErr w:type="gramStart"/>
      <w:r>
        <w:t>lyssaviruses</w:t>
      </w:r>
      <w:proofErr w:type="gramEnd"/>
      <w:r>
        <w:t>; potential novel coronaviruses. Pre-exposure rabies vaccination and trained handling are standard.</w:t>
      </w:r>
    </w:p>
    <w:p w14:paraId="71A7149A" w14:textId="77777777" w:rsidR="00055CA8" w:rsidRDefault="00904072">
      <w:pPr>
        <w:pStyle w:val="ListParagraph"/>
        <w:numPr>
          <w:ilvl w:val="0"/>
          <w:numId w:val="2"/>
        </w:numPr>
        <w:spacing w:after="70" w:line="258" w:lineRule="auto"/>
      </w:pPr>
      <w:r>
        <w:rPr>
          <w:b/>
          <w:bCs/>
        </w:rPr>
        <w:lastRenderedPageBreak/>
        <w:t>Wild rodents</w:t>
      </w:r>
      <w:r>
        <w:t xml:space="preserve"> — hantavirus (deer mice; the basis of the 2012 Yosemite exposures), </w:t>
      </w:r>
      <w:r>
        <w:rPr>
          <w:i/>
          <w:iCs/>
        </w:rPr>
        <w:t>Yersinia pestis</w:t>
      </w:r>
      <w:r>
        <w:t xml:space="preserve"> (sylvatic plague, endemic in Sierra ground squirrels and their fleas), </w:t>
      </w:r>
      <w:r>
        <w:rPr>
          <w:i/>
          <w:iCs/>
        </w:rPr>
        <w:t>Leptospira</w:t>
      </w:r>
      <w:r>
        <w:t xml:space="preserve">, </w:t>
      </w:r>
      <w:proofErr w:type="spellStart"/>
      <w:r>
        <w:rPr>
          <w:i/>
          <w:iCs/>
        </w:rPr>
        <w:t>Francisella</w:t>
      </w:r>
      <w:proofErr w:type="spellEnd"/>
      <w:r>
        <w:rPr>
          <w:i/>
          <w:iCs/>
        </w:rPr>
        <w:t xml:space="preserve"> tularensis</w:t>
      </w:r>
      <w:r>
        <w:t>, and lymphocytic choriomeningitis virus.</w:t>
      </w:r>
    </w:p>
    <w:p w14:paraId="31CE3947" w14:textId="77777777" w:rsidR="00055CA8" w:rsidRDefault="00904072">
      <w:pPr>
        <w:pStyle w:val="ListParagraph"/>
        <w:numPr>
          <w:ilvl w:val="0"/>
          <w:numId w:val="2"/>
        </w:numPr>
        <w:spacing w:after="70" w:line="258" w:lineRule="auto"/>
      </w:pPr>
      <w:r>
        <w:rPr>
          <w:b/>
          <w:bCs/>
        </w:rPr>
        <w:t>Wild birds</w:t>
      </w:r>
      <w:r>
        <w:t xml:space="preserve"> — avian influenza, West Nile virus, and </w:t>
      </w:r>
      <w:r>
        <w:rPr>
          <w:i/>
          <w:iCs/>
        </w:rPr>
        <w:t>Chlamydia psittaci</w:t>
      </w:r>
      <w:r>
        <w:t xml:space="preserve"> (psittacosis).</w:t>
      </w:r>
    </w:p>
    <w:p w14:paraId="3A2809DF" w14:textId="77777777" w:rsidR="00B83608" w:rsidRDefault="00904072">
      <w:pPr>
        <w:pStyle w:val="ListParagraph"/>
        <w:numPr>
          <w:ilvl w:val="0"/>
          <w:numId w:val="2"/>
        </w:numPr>
        <w:spacing w:after="70" w:line="258" w:lineRule="auto"/>
      </w:pPr>
      <w:r>
        <w:rPr>
          <w:b/>
          <w:bCs/>
        </w:rPr>
        <w:t>Ungulates and their birthing fluids</w:t>
      </w:r>
      <w:r>
        <w:t xml:space="preserve"> — </w:t>
      </w:r>
      <w:r>
        <w:rPr>
          <w:i/>
          <w:iCs/>
        </w:rPr>
        <w:t xml:space="preserve">Coxiella </w:t>
      </w:r>
      <w:proofErr w:type="spellStart"/>
      <w:r>
        <w:rPr>
          <w:i/>
          <w:iCs/>
        </w:rPr>
        <w:t>burnetii</w:t>
      </w:r>
      <w:proofErr w:type="spellEnd"/>
      <w:r>
        <w:t xml:space="preserve"> (Q fever) and </w:t>
      </w:r>
      <w:r>
        <w:rPr>
          <w:i/>
          <w:iCs/>
        </w:rPr>
        <w:t>Brucella</w:t>
      </w:r>
      <w:r>
        <w:t xml:space="preserve">; </w:t>
      </w:r>
    </w:p>
    <w:p w14:paraId="50F645A0" w14:textId="77777777" w:rsidR="00055CA8" w:rsidRDefault="00904072">
      <w:pPr>
        <w:pStyle w:val="Heading2"/>
      </w:pPr>
      <w:r>
        <w:t>Watch out for</w:t>
      </w:r>
    </w:p>
    <w:p w14:paraId="12D9FAB2" w14:textId="77777777" w:rsidR="00055CA8" w:rsidRDefault="00904072">
      <w:pPr>
        <w:pStyle w:val="ListParagraph"/>
        <w:numPr>
          <w:ilvl w:val="0"/>
          <w:numId w:val="2"/>
        </w:numPr>
        <w:spacing w:after="70" w:line="258" w:lineRule="auto"/>
      </w:pPr>
      <w:r>
        <w:t>“No agent is intentionally introduced” does not remove the trigger — exposure risk does. Routine necropsy or tissue processing of wild-caught animals from a high-risk setting can itself require ABSL-2 practices.</w:t>
      </w:r>
    </w:p>
    <w:p w14:paraId="4F7343E6" w14:textId="77777777" w:rsidR="00055CA8" w:rsidRDefault="00904072">
      <w:pPr>
        <w:pStyle w:val="ListParagraph"/>
        <w:numPr>
          <w:ilvl w:val="0"/>
          <w:numId w:val="2"/>
        </w:numPr>
        <w:spacing w:after="70" w:line="258" w:lineRule="auto"/>
      </w:pPr>
      <w:r>
        <w:t>Trapping, sampling, and transporting specimens may also implicate shipping and permit requirements; loop in EH&amp;S early.</w:t>
      </w:r>
    </w:p>
    <w:p w14:paraId="1400A21A" w14:textId="77777777" w:rsidR="00055CA8" w:rsidRDefault="00904072">
      <w:pPr>
        <w:pStyle w:val="Heading1"/>
      </w:pPr>
      <w:proofErr w:type="gramStart"/>
      <w:r>
        <w:t>At a Glance</w:t>
      </w:r>
      <w:proofErr w:type="gramEnd"/>
    </w:p>
    <w:p w14:paraId="77578739" w14:textId="77777777" w:rsidR="00055CA8" w:rsidRDefault="00904072">
      <w:pPr>
        <w:spacing w:after="110" w:line="264" w:lineRule="auto"/>
      </w:pPr>
      <w:r>
        <w:t xml:space="preserve">Almost everything with live vertebrate animals needs IACUC review; this table answers the second question — </w:t>
      </w:r>
      <w:r>
        <w:rPr>
          <w:i/>
          <w:iCs/>
        </w:rPr>
        <w:t>does it also need the IBC?</w:t>
      </w:r>
      <w:r>
        <w:t xml:space="preserve"> The IBC, not the IACUC, sets the animal biosafety level.</w:t>
      </w:r>
    </w:p>
    <w:p w14:paraId="73EB965B" w14:textId="77777777" w:rsidR="00055CA8" w:rsidRDefault="00055CA8">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760"/>
        <w:gridCol w:w="4100"/>
      </w:tblGrid>
      <w:tr w:rsidR="00055CA8" w14:paraId="2FF2373B" w14:textId="77777777">
        <w:trPr>
          <w:tblHeader/>
        </w:trPr>
        <w:tc>
          <w:tcPr>
            <w:tcW w:w="3500" w:type="dxa"/>
            <w:tcBorders>
              <w:top w:val="single" w:sz="2" w:space="0" w:color="D9DCE0"/>
              <w:left w:val="single" w:sz="2" w:space="0" w:color="D9DCE0"/>
              <w:bottom w:val="single" w:sz="2" w:space="0" w:color="D9DCE0"/>
              <w:right w:val="single" w:sz="2" w:space="0" w:color="D9DCE0"/>
            </w:tcBorders>
            <w:shd w:val="clear" w:color="auto" w:fill="002856"/>
            <w:tcMar>
              <w:top w:w="90" w:type="dxa"/>
              <w:left w:w="130" w:type="dxa"/>
              <w:bottom w:w="90" w:type="dxa"/>
              <w:right w:w="130" w:type="dxa"/>
            </w:tcMar>
          </w:tcPr>
          <w:p w14:paraId="2FF41C9E" w14:textId="77777777" w:rsidR="00055CA8" w:rsidRDefault="00904072">
            <w:r>
              <w:rPr>
                <w:b/>
                <w:bCs/>
                <w:color w:val="FFFFFF"/>
              </w:rPr>
              <w:t>Animal work scenario</w:t>
            </w:r>
          </w:p>
        </w:tc>
        <w:tc>
          <w:tcPr>
            <w:tcW w:w="1760" w:type="dxa"/>
            <w:tcBorders>
              <w:top w:val="single" w:sz="2" w:space="0" w:color="D9DCE0"/>
              <w:left w:val="single" w:sz="2" w:space="0" w:color="D9DCE0"/>
              <w:bottom w:val="single" w:sz="2" w:space="0" w:color="D9DCE0"/>
              <w:right w:val="single" w:sz="2" w:space="0" w:color="D9DCE0"/>
            </w:tcBorders>
            <w:shd w:val="clear" w:color="auto" w:fill="002856"/>
            <w:tcMar>
              <w:top w:w="90" w:type="dxa"/>
              <w:left w:w="130" w:type="dxa"/>
              <w:bottom w:w="90" w:type="dxa"/>
              <w:right w:w="130" w:type="dxa"/>
            </w:tcMar>
          </w:tcPr>
          <w:p w14:paraId="42FAA11B" w14:textId="77777777" w:rsidR="00055CA8" w:rsidRDefault="00904072">
            <w:r>
              <w:rPr>
                <w:b/>
                <w:bCs/>
                <w:color w:val="FFFFFF"/>
              </w:rPr>
              <w:t>IBC review also required?</w:t>
            </w:r>
          </w:p>
        </w:tc>
        <w:tc>
          <w:tcPr>
            <w:tcW w:w="4100" w:type="dxa"/>
            <w:tcBorders>
              <w:top w:val="single" w:sz="2" w:space="0" w:color="D9DCE0"/>
              <w:left w:val="single" w:sz="2" w:space="0" w:color="D9DCE0"/>
              <w:bottom w:val="single" w:sz="2" w:space="0" w:color="D9DCE0"/>
              <w:right w:val="single" w:sz="2" w:space="0" w:color="D9DCE0"/>
            </w:tcBorders>
            <w:shd w:val="clear" w:color="auto" w:fill="002856"/>
            <w:tcMar>
              <w:top w:w="90" w:type="dxa"/>
              <w:left w:w="130" w:type="dxa"/>
              <w:bottom w:w="90" w:type="dxa"/>
              <w:right w:w="130" w:type="dxa"/>
            </w:tcMar>
          </w:tcPr>
          <w:p w14:paraId="24035C22" w14:textId="77777777" w:rsidR="00055CA8" w:rsidRDefault="00904072">
            <w:r>
              <w:rPr>
                <w:b/>
                <w:bCs/>
                <w:color w:val="FFFFFF"/>
              </w:rPr>
              <w:t>Typical containment &amp; governing authority</w:t>
            </w:r>
          </w:p>
        </w:tc>
      </w:tr>
      <w:tr w:rsidR="00055CA8" w14:paraId="490653B2" w14:textId="77777777">
        <w:tc>
          <w:tcPr>
            <w:tcW w:w="35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7A3D92B8" w14:textId="77777777" w:rsidR="00055CA8" w:rsidRDefault="00904072">
            <w:pPr>
              <w:spacing w:line="252" w:lineRule="auto"/>
            </w:pPr>
            <w:r>
              <w:rPr>
                <w:sz w:val="19"/>
                <w:szCs w:val="19"/>
              </w:rPr>
              <w:t>Standard work — no r/</w:t>
            </w:r>
            <w:proofErr w:type="spellStart"/>
            <w:r>
              <w:rPr>
                <w:sz w:val="19"/>
                <w:szCs w:val="19"/>
              </w:rPr>
              <w:t>sNA</w:t>
            </w:r>
            <w:proofErr w:type="spellEnd"/>
            <w:r>
              <w:rPr>
                <w:sz w:val="19"/>
                <w:szCs w:val="19"/>
              </w:rPr>
              <w:t>, no infectious agents, no hazardous biologicals, non-zoonotic species</w:t>
            </w:r>
          </w:p>
        </w:tc>
        <w:tc>
          <w:tcPr>
            <w:tcW w:w="176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27329734" w14:textId="77777777" w:rsidR="00055CA8" w:rsidRDefault="00904072">
            <w:pPr>
              <w:spacing w:line="252" w:lineRule="auto"/>
            </w:pPr>
            <w:r>
              <w:rPr>
                <w:b/>
                <w:bCs/>
                <w:sz w:val="19"/>
                <w:szCs w:val="19"/>
              </w:rPr>
              <w:t>No</w:t>
            </w:r>
          </w:p>
        </w:tc>
        <w:tc>
          <w:tcPr>
            <w:tcW w:w="41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5ADF7131" w14:textId="77777777" w:rsidR="00055CA8" w:rsidRDefault="00904072">
            <w:pPr>
              <w:spacing w:line="252" w:lineRule="auto"/>
            </w:pPr>
            <w:r>
              <w:rPr>
                <w:sz w:val="19"/>
                <w:szCs w:val="19"/>
              </w:rPr>
              <w:t>ABSL-1; IACUC only</w:t>
            </w:r>
          </w:p>
        </w:tc>
      </w:tr>
      <w:tr w:rsidR="00055CA8" w14:paraId="0EADD548" w14:textId="77777777">
        <w:tc>
          <w:tcPr>
            <w:tcW w:w="35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12C5A6EA" w14:textId="77777777" w:rsidR="00055CA8" w:rsidRDefault="00904072">
            <w:pPr>
              <w:spacing w:line="252" w:lineRule="auto"/>
            </w:pPr>
            <w:r>
              <w:rPr>
                <w:sz w:val="19"/>
                <w:szCs w:val="19"/>
              </w:rPr>
              <w:t>Purchase or use of BL1 transgenic rodents (no further hazardous manipulation)</w:t>
            </w:r>
          </w:p>
        </w:tc>
        <w:tc>
          <w:tcPr>
            <w:tcW w:w="176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43A10AEA" w14:textId="77777777" w:rsidR="00055CA8" w:rsidRDefault="00904072">
            <w:pPr>
              <w:spacing w:line="252" w:lineRule="auto"/>
            </w:pPr>
            <w:r>
              <w:rPr>
                <w:b/>
                <w:bCs/>
                <w:sz w:val="19"/>
                <w:szCs w:val="19"/>
              </w:rPr>
              <w:t>Notice / often exempt</w:t>
            </w:r>
          </w:p>
        </w:tc>
        <w:tc>
          <w:tcPr>
            <w:tcW w:w="41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142C9DC9" w14:textId="77777777" w:rsidR="00055CA8" w:rsidRDefault="00904072">
            <w:pPr>
              <w:spacing w:line="252" w:lineRule="auto"/>
            </w:pPr>
            <w:r>
              <w:rPr>
                <w:sz w:val="19"/>
                <w:szCs w:val="19"/>
              </w:rPr>
              <w:t>ABSL-1; NIH III-E-3 / III-F</w:t>
            </w:r>
          </w:p>
        </w:tc>
      </w:tr>
      <w:tr w:rsidR="00055CA8" w14:paraId="00CEC6C2" w14:textId="77777777">
        <w:tc>
          <w:tcPr>
            <w:tcW w:w="35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3DDBD38B" w14:textId="77777777" w:rsidR="00055CA8" w:rsidRDefault="00904072">
            <w:pPr>
              <w:spacing w:line="252" w:lineRule="auto"/>
            </w:pPr>
            <w:r>
              <w:rPr>
                <w:sz w:val="19"/>
                <w:szCs w:val="19"/>
              </w:rPr>
              <w:t>Viral vector or other r/</w:t>
            </w:r>
            <w:proofErr w:type="spellStart"/>
            <w:r>
              <w:rPr>
                <w:sz w:val="19"/>
                <w:szCs w:val="19"/>
              </w:rPr>
              <w:t>sNA</w:t>
            </w:r>
            <w:proofErr w:type="spellEnd"/>
            <w:r>
              <w:rPr>
                <w:sz w:val="19"/>
                <w:szCs w:val="19"/>
              </w:rPr>
              <w:t xml:space="preserve"> administered to animals</w:t>
            </w:r>
          </w:p>
        </w:tc>
        <w:tc>
          <w:tcPr>
            <w:tcW w:w="176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354F51AA" w14:textId="77777777" w:rsidR="00055CA8" w:rsidRDefault="00904072">
            <w:pPr>
              <w:spacing w:line="252" w:lineRule="auto"/>
            </w:pPr>
            <w:r>
              <w:rPr>
                <w:b/>
                <w:bCs/>
                <w:sz w:val="19"/>
                <w:szCs w:val="19"/>
              </w:rPr>
              <w:t>Yes — before initiation</w:t>
            </w:r>
          </w:p>
        </w:tc>
        <w:tc>
          <w:tcPr>
            <w:tcW w:w="41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3EFCBC40" w14:textId="77777777" w:rsidR="00055CA8" w:rsidRDefault="00904072">
            <w:pPr>
              <w:spacing w:line="252" w:lineRule="auto"/>
            </w:pPr>
            <w:r>
              <w:rPr>
                <w:sz w:val="19"/>
                <w:szCs w:val="19"/>
              </w:rPr>
              <w:t>ABSL-1–2; NIH III-D-4</w:t>
            </w:r>
          </w:p>
        </w:tc>
      </w:tr>
      <w:tr w:rsidR="00055CA8" w14:paraId="2656B23A" w14:textId="77777777">
        <w:tc>
          <w:tcPr>
            <w:tcW w:w="35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17ABBC59" w14:textId="77777777" w:rsidR="00055CA8" w:rsidRDefault="00904072">
            <w:pPr>
              <w:spacing w:line="252" w:lineRule="auto"/>
            </w:pPr>
            <w:r>
              <w:rPr>
                <w:sz w:val="19"/>
                <w:szCs w:val="19"/>
              </w:rPr>
              <w:t>Gene-drive modified animals</w:t>
            </w:r>
          </w:p>
        </w:tc>
        <w:tc>
          <w:tcPr>
            <w:tcW w:w="176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32655AD5" w14:textId="77777777" w:rsidR="00055CA8" w:rsidRDefault="00904072">
            <w:pPr>
              <w:spacing w:line="252" w:lineRule="auto"/>
            </w:pPr>
            <w:r>
              <w:rPr>
                <w:b/>
                <w:bCs/>
                <w:sz w:val="19"/>
                <w:szCs w:val="19"/>
              </w:rPr>
              <w:t>Yes</w:t>
            </w:r>
          </w:p>
        </w:tc>
        <w:tc>
          <w:tcPr>
            <w:tcW w:w="41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755A5AB4" w14:textId="77777777" w:rsidR="00055CA8" w:rsidRDefault="00904072">
            <w:pPr>
              <w:spacing w:line="252" w:lineRule="auto"/>
            </w:pPr>
            <w:r>
              <w:rPr>
                <w:sz w:val="19"/>
                <w:szCs w:val="19"/>
              </w:rPr>
              <w:t>Min ABSL-2 + BSO; NIH III-D-8</w:t>
            </w:r>
          </w:p>
        </w:tc>
      </w:tr>
      <w:tr w:rsidR="00055CA8" w14:paraId="57612A0C" w14:textId="77777777">
        <w:tc>
          <w:tcPr>
            <w:tcW w:w="35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67001C7B" w14:textId="77777777" w:rsidR="00055CA8" w:rsidRDefault="00904072">
            <w:pPr>
              <w:spacing w:line="252" w:lineRule="auto"/>
            </w:pPr>
            <w:r>
              <w:rPr>
                <w:sz w:val="19"/>
                <w:szCs w:val="19"/>
              </w:rPr>
              <w:t>Animals deliberately infected with an RG2+ agent</w:t>
            </w:r>
          </w:p>
        </w:tc>
        <w:tc>
          <w:tcPr>
            <w:tcW w:w="176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0A518A7B" w14:textId="77777777" w:rsidR="00055CA8" w:rsidRDefault="00904072">
            <w:pPr>
              <w:spacing w:line="252" w:lineRule="auto"/>
            </w:pPr>
            <w:r>
              <w:rPr>
                <w:b/>
                <w:bCs/>
                <w:sz w:val="19"/>
                <w:szCs w:val="19"/>
              </w:rPr>
              <w:t>Yes</w:t>
            </w:r>
          </w:p>
        </w:tc>
        <w:tc>
          <w:tcPr>
            <w:tcW w:w="41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753A4475" w14:textId="77777777" w:rsidR="00055CA8" w:rsidRDefault="00904072">
            <w:pPr>
              <w:spacing w:line="252" w:lineRule="auto"/>
            </w:pPr>
            <w:r>
              <w:rPr>
                <w:sz w:val="19"/>
                <w:szCs w:val="19"/>
              </w:rPr>
              <w:t>ABSL-2+; BMBL / policy (+ NIH if recombinant)</w:t>
            </w:r>
          </w:p>
        </w:tc>
      </w:tr>
      <w:tr w:rsidR="00055CA8" w14:paraId="136AD6FF" w14:textId="77777777">
        <w:tc>
          <w:tcPr>
            <w:tcW w:w="35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4596FDC7" w14:textId="77777777" w:rsidR="00055CA8" w:rsidRDefault="00904072">
            <w:pPr>
              <w:spacing w:line="252" w:lineRule="auto"/>
            </w:pPr>
            <w:r>
              <w:rPr>
                <w:sz w:val="19"/>
                <w:szCs w:val="19"/>
              </w:rPr>
              <w:t>Human or non-human-primate cells, tissues, blood, or PDX/xenografts in animals</w:t>
            </w:r>
          </w:p>
        </w:tc>
        <w:tc>
          <w:tcPr>
            <w:tcW w:w="176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4C9298F4" w14:textId="77777777" w:rsidR="00055CA8" w:rsidRDefault="00904072">
            <w:pPr>
              <w:spacing w:line="252" w:lineRule="auto"/>
            </w:pPr>
            <w:r>
              <w:rPr>
                <w:b/>
                <w:bCs/>
                <w:sz w:val="19"/>
                <w:szCs w:val="19"/>
              </w:rPr>
              <w:t>Yes</w:t>
            </w:r>
          </w:p>
        </w:tc>
        <w:tc>
          <w:tcPr>
            <w:tcW w:w="41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2F02A46E" w14:textId="77777777" w:rsidR="00055CA8" w:rsidRDefault="00904072">
            <w:pPr>
              <w:spacing w:line="252" w:lineRule="auto"/>
            </w:pPr>
            <w:r>
              <w:rPr>
                <w:sz w:val="19"/>
                <w:szCs w:val="19"/>
              </w:rPr>
              <w:t>ABSL-2; OSHA BBP / policy</w:t>
            </w:r>
          </w:p>
        </w:tc>
      </w:tr>
      <w:tr w:rsidR="00055CA8" w14:paraId="571B8071" w14:textId="77777777">
        <w:tc>
          <w:tcPr>
            <w:tcW w:w="35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04C6AF9C" w14:textId="77777777" w:rsidR="00055CA8" w:rsidRDefault="00904072">
            <w:pPr>
              <w:spacing w:line="252" w:lineRule="auto"/>
            </w:pPr>
            <w:r>
              <w:rPr>
                <w:sz w:val="19"/>
                <w:szCs w:val="19"/>
              </w:rPr>
              <w:t>Biological toxin administered to animals</w:t>
            </w:r>
          </w:p>
        </w:tc>
        <w:tc>
          <w:tcPr>
            <w:tcW w:w="176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554BA546" w14:textId="77777777" w:rsidR="00055CA8" w:rsidRDefault="00904072">
            <w:pPr>
              <w:spacing w:line="252" w:lineRule="auto"/>
            </w:pPr>
            <w:r>
              <w:rPr>
                <w:b/>
                <w:bCs/>
                <w:sz w:val="19"/>
                <w:szCs w:val="19"/>
              </w:rPr>
              <w:t>Yes</w:t>
            </w:r>
          </w:p>
        </w:tc>
        <w:tc>
          <w:tcPr>
            <w:tcW w:w="4100" w:type="dxa"/>
            <w:tcBorders>
              <w:top w:val="single" w:sz="2" w:space="0" w:color="D9DCE0"/>
              <w:left w:val="single" w:sz="2" w:space="0" w:color="D9DCE0"/>
              <w:bottom w:val="single" w:sz="2" w:space="0" w:color="D9DCE0"/>
              <w:right w:val="single" w:sz="2" w:space="0" w:color="D9DCE0"/>
            </w:tcBorders>
            <w:tcMar>
              <w:top w:w="80" w:type="dxa"/>
              <w:left w:w="130" w:type="dxa"/>
              <w:bottom w:w="80" w:type="dxa"/>
              <w:right w:w="130" w:type="dxa"/>
            </w:tcMar>
          </w:tcPr>
          <w:p w14:paraId="521051B5" w14:textId="77777777" w:rsidR="00055CA8" w:rsidRDefault="00904072">
            <w:pPr>
              <w:spacing w:line="252" w:lineRule="auto"/>
            </w:pPr>
            <w:r>
              <w:rPr>
                <w:sz w:val="19"/>
                <w:szCs w:val="19"/>
              </w:rPr>
              <w:t>Risk-based; policy (NIH III-B if LD50 &lt; 100 ng/kg)</w:t>
            </w:r>
          </w:p>
        </w:tc>
      </w:tr>
      <w:tr w:rsidR="00055CA8" w14:paraId="11BC7719" w14:textId="77777777">
        <w:tc>
          <w:tcPr>
            <w:tcW w:w="35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551B5A46" w14:textId="77777777" w:rsidR="00055CA8" w:rsidRDefault="00904072">
            <w:pPr>
              <w:spacing w:line="252" w:lineRule="auto"/>
            </w:pPr>
            <w:r>
              <w:rPr>
                <w:sz w:val="19"/>
                <w:szCs w:val="19"/>
              </w:rPr>
              <w:t>Field / wild-caught animals likely to carry a zoonosis</w:t>
            </w:r>
          </w:p>
        </w:tc>
        <w:tc>
          <w:tcPr>
            <w:tcW w:w="176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15630680" w14:textId="77777777" w:rsidR="00055CA8" w:rsidRDefault="00904072">
            <w:pPr>
              <w:spacing w:line="252" w:lineRule="auto"/>
            </w:pPr>
            <w:r>
              <w:rPr>
                <w:b/>
                <w:bCs/>
                <w:sz w:val="19"/>
                <w:szCs w:val="19"/>
              </w:rPr>
              <w:t>Yes</w:t>
            </w:r>
          </w:p>
        </w:tc>
        <w:tc>
          <w:tcPr>
            <w:tcW w:w="4100" w:type="dxa"/>
            <w:tcBorders>
              <w:top w:val="single" w:sz="2" w:space="0" w:color="D9DCE0"/>
              <w:left w:val="single" w:sz="2" w:space="0" w:color="D9DCE0"/>
              <w:bottom w:val="single" w:sz="2" w:space="0" w:color="D9DCE0"/>
              <w:right w:val="single" w:sz="2" w:space="0" w:color="D9DCE0"/>
            </w:tcBorders>
            <w:shd w:val="clear" w:color="auto" w:fill="F4F8FA"/>
            <w:tcMar>
              <w:top w:w="80" w:type="dxa"/>
              <w:left w:w="130" w:type="dxa"/>
              <w:bottom w:w="80" w:type="dxa"/>
              <w:right w:w="130" w:type="dxa"/>
            </w:tcMar>
          </w:tcPr>
          <w:p w14:paraId="12FD1287" w14:textId="77777777" w:rsidR="00055CA8" w:rsidRDefault="00904072">
            <w:pPr>
              <w:spacing w:line="252" w:lineRule="auto"/>
            </w:pPr>
            <w:r>
              <w:rPr>
                <w:sz w:val="19"/>
                <w:szCs w:val="19"/>
              </w:rPr>
              <w:t>Risk-based; biosafety + occupational health</w:t>
            </w:r>
          </w:p>
        </w:tc>
      </w:tr>
    </w:tbl>
    <w:p w14:paraId="0631BA73" w14:textId="77777777" w:rsidR="00055CA8" w:rsidRDefault="00055CA8">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55CA8" w14:paraId="3CE03A45" w14:textId="77777777">
        <w:tc>
          <w:tcPr>
            <w:tcW w:w="9360" w:type="dxa"/>
            <w:tcBorders>
              <w:top w:val="none" w:sz="0" w:space="0" w:color="FFFFFF"/>
              <w:left w:val="none" w:sz="0" w:space="0" w:color="FFFFFF"/>
              <w:bottom w:val="none" w:sz="0" w:space="0" w:color="FFFFFF"/>
              <w:right w:val="none" w:sz="0" w:space="0" w:color="FFFFFF"/>
            </w:tcBorders>
            <w:shd w:val="clear" w:color="auto" w:fill="E3F3F6"/>
            <w:tcMar>
              <w:top w:w="120" w:type="dxa"/>
              <w:left w:w="220" w:type="dxa"/>
              <w:bottom w:w="120" w:type="dxa"/>
              <w:right w:w="200" w:type="dxa"/>
            </w:tcMar>
          </w:tcPr>
          <w:p w14:paraId="3CCA8261" w14:textId="77777777" w:rsidR="00055CA8" w:rsidRDefault="00904072">
            <w:r>
              <w:rPr>
                <w:b/>
                <w:bCs/>
                <w:color w:val="002856"/>
              </w:rPr>
              <w:t>Coordination checklist</w:t>
            </w:r>
          </w:p>
          <w:p w14:paraId="3FF88A58" w14:textId="1DC75799" w:rsidR="00055CA8" w:rsidRDefault="00904072">
            <w:pPr>
              <w:spacing w:before="60"/>
            </w:pPr>
            <w:r>
              <w:rPr>
                <w:sz w:val="19"/>
                <w:szCs w:val="19"/>
              </w:rPr>
              <w:t xml:space="preserve">Run IACUC and IBC review </w:t>
            </w:r>
            <w:r>
              <w:rPr>
                <w:b/>
                <w:bCs/>
                <w:sz w:val="19"/>
                <w:szCs w:val="19"/>
              </w:rPr>
              <w:t>in parallel</w:t>
            </w:r>
            <w:r>
              <w:rPr>
                <w:sz w:val="19"/>
                <w:szCs w:val="19"/>
              </w:rPr>
              <w:t xml:space="preserve"> — do not wait for one to finish first. Confirm the </w:t>
            </w:r>
            <w:r>
              <w:rPr>
                <w:b/>
                <w:bCs/>
                <w:sz w:val="19"/>
                <w:szCs w:val="19"/>
              </w:rPr>
              <w:t>ABSL is set by the IBC</w:t>
            </w:r>
            <w:r>
              <w:rPr>
                <w:sz w:val="19"/>
                <w:szCs w:val="19"/>
              </w:rPr>
              <w:t xml:space="preserve"> and matches the housing assignment. Ensure all personnel are enrolled in occupational health and trained for the assigned containment. When in doubt, route to EH&amp;S Biosafety before work begins — a five-minute question is cheaper than a compliance finding.</w:t>
            </w:r>
          </w:p>
        </w:tc>
      </w:tr>
    </w:tbl>
    <w:p w14:paraId="7FB59A4C" w14:textId="77777777" w:rsidR="00055CA8" w:rsidRDefault="00904072">
      <w:pPr>
        <w:spacing w:before="30"/>
      </w:pPr>
      <w:r>
        <w:rPr>
          <w:color w:val="5B5B5B"/>
          <w:sz w:val="16"/>
          <w:szCs w:val="16"/>
        </w:rPr>
        <w:t xml:space="preserve">References: </w:t>
      </w:r>
      <w:hyperlink r:id="rId7" w:history="1">
        <w:r>
          <w:rPr>
            <w:rStyle w:val="Hyperlink"/>
            <w:color w:val="005487"/>
            <w:sz w:val="16"/>
            <w:szCs w:val="16"/>
          </w:rPr>
          <w:t>NIH Guidelines (osp.od.nih.gov)</w:t>
        </w:r>
      </w:hyperlink>
      <w:r>
        <w:rPr>
          <w:color w:val="5B5B5B"/>
          <w:sz w:val="16"/>
          <w:szCs w:val="16"/>
        </w:rPr>
        <w:t xml:space="preserve">  •  </w:t>
      </w:r>
      <w:hyperlink r:id="rId8" w:history="1">
        <w:r>
          <w:rPr>
            <w:rStyle w:val="Hyperlink"/>
            <w:color w:val="005487"/>
            <w:sz w:val="16"/>
            <w:szCs w:val="16"/>
          </w:rPr>
          <w:t>CDC/NIH BMBL, 6th ed. (cdc.gov)</w:t>
        </w:r>
      </w:hyperlink>
    </w:p>
    <w:sectPr w:rsidR="00055CA8">
      <w:headerReference w:type="default" r:id="rId9"/>
      <w:footerReference w:type="default" r:id="rId10"/>
      <w:pgSz w:w="12240" w:h="15840"/>
      <w:pgMar w:top="1300" w:right="1440" w:bottom="13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EDD2C" w14:textId="77777777" w:rsidR="004F7E0A" w:rsidRDefault="004F7E0A">
      <w:r>
        <w:separator/>
      </w:r>
    </w:p>
  </w:endnote>
  <w:endnote w:type="continuationSeparator" w:id="0">
    <w:p w14:paraId="14504924" w14:textId="77777777" w:rsidR="004F7E0A" w:rsidRDefault="004F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4AD5" w14:textId="77777777" w:rsidR="00055CA8" w:rsidRDefault="00904072">
    <w:pPr>
      <w:pBdr>
        <w:top w:val="single" w:sz="4" w:space="4" w:color="D9DCE0"/>
      </w:pBdr>
      <w:tabs>
        <w:tab w:val="right" w:pos="9360"/>
      </w:tabs>
      <w:spacing w:before="60"/>
    </w:pPr>
    <w:r>
      <w:rPr>
        <w:color w:val="5B5B5B"/>
        <w:sz w:val="15"/>
        <w:szCs w:val="15"/>
      </w:rPr>
      <w:t>IACUC × IBC — When Animal Research Also Needs IBC Review</w:t>
    </w:r>
    <w:r>
      <w:rPr>
        <w:color w:val="5B5B5B"/>
        <w:sz w:val="15"/>
        <w:szCs w:val="15"/>
      </w:rPr>
      <w:tab/>
      <w:t xml:space="preserve">Page </w:t>
    </w:r>
    <w:r>
      <w:rPr>
        <w:color w:val="5B5B5B"/>
        <w:sz w:val="15"/>
        <w:szCs w:val="15"/>
      </w:rPr>
      <w:fldChar w:fldCharType="begin"/>
    </w:r>
    <w:r>
      <w:rPr>
        <w:color w:val="5B5B5B"/>
        <w:sz w:val="15"/>
        <w:szCs w:val="15"/>
      </w:rPr>
      <w:instrText>PAGE</w:instrText>
    </w:r>
    <w:r>
      <w:rPr>
        <w:color w:val="5B5B5B"/>
        <w:sz w:val="15"/>
        <w:szCs w:val="15"/>
      </w:rPr>
      <w:fldChar w:fldCharType="separate"/>
    </w:r>
    <w:r w:rsidR="003C75C6">
      <w:rPr>
        <w:noProof/>
        <w:color w:val="5B5B5B"/>
        <w:sz w:val="15"/>
        <w:szCs w:val="15"/>
      </w:rPr>
      <w:t>1</w:t>
    </w:r>
    <w:r>
      <w:rPr>
        <w:color w:val="5B5B5B"/>
        <w:sz w:val="15"/>
        <w:szCs w:val="15"/>
      </w:rPr>
      <w:fldChar w:fldCharType="end"/>
    </w:r>
    <w:r>
      <w:rPr>
        <w:color w:val="5B5B5B"/>
        <w:sz w:val="15"/>
        <w:szCs w:val="15"/>
      </w:rPr>
      <w:t xml:space="preserve"> of </w:t>
    </w:r>
    <w:r>
      <w:rPr>
        <w:color w:val="5B5B5B"/>
        <w:sz w:val="15"/>
        <w:szCs w:val="15"/>
      </w:rPr>
      <w:fldChar w:fldCharType="begin"/>
    </w:r>
    <w:r>
      <w:rPr>
        <w:color w:val="5B5B5B"/>
        <w:sz w:val="15"/>
        <w:szCs w:val="15"/>
      </w:rPr>
      <w:instrText>NUMPAGES</w:instrText>
    </w:r>
    <w:r>
      <w:rPr>
        <w:color w:val="5B5B5B"/>
        <w:sz w:val="15"/>
        <w:szCs w:val="15"/>
      </w:rPr>
      <w:fldChar w:fldCharType="separate"/>
    </w:r>
    <w:r w:rsidR="003C75C6">
      <w:rPr>
        <w:noProof/>
        <w:color w:val="5B5B5B"/>
        <w:sz w:val="15"/>
        <w:szCs w:val="15"/>
      </w:rPr>
      <w:t>2</w:t>
    </w:r>
    <w:r>
      <w:rPr>
        <w:color w:val="5B5B5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B35D" w14:textId="77777777" w:rsidR="004F7E0A" w:rsidRDefault="004F7E0A">
      <w:r>
        <w:separator/>
      </w:r>
    </w:p>
  </w:footnote>
  <w:footnote w:type="continuationSeparator" w:id="0">
    <w:p w14:paraId="30F6A438" w14:textId="77777777" w:rsidR="004F7E0A" w:rsidRDefault="004F7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9D2A" w14:textId="77777777" w:rsidR="00055CA8" w:rsidRDefault="00904072">
    <w:pPr>
      <w:pBdr>
        <w:bottom w:val="single" w:sz="6" w:space="4" w:color="002856"/>
      </w:pBdr>
      <w:tabs>
        <w:tab w:val="right" w:pos="9360"/>
      </w:tabs>
    </w:pPr>
    <w:r>
      <w:rPr>
        <w:b/>
        <w:bCs/>
        <w:color w:val="002856"/>
        <w:sz w:val="17"/>
        <w:szCs w:val="17"/>
      </w:rPr>
      <w:t xml:space="preserve">UC </w:t>
    </w:r>
    <w:proofErr w:type="gramStart"/>
    <w:r>
      <w:rPr>
        <w:b/>
        <w:bCs/>
        <w:color w:val="002856"/>
        <w:sz w:val="17"/>
        <w:szCs w:val="17"/>
      </w:rPr>
      <w:t>MERCED</w:t>
    </w:r>
    <w:r>
      <w:rPr>
        <w:color w:val="5B5B5B"/>
        <w:sz w:val="17"/>
        <w:szCs w:val="17"/>
      </w:rPr>
      <w:t xml:space="preserve">  |</w:t>
    </w:r>
    <w:proofErr w:type="gramEnd"/>
    <w:r>
      <w:rPr>
        <w:color w:val="5B5B5B"/>
        <w:sz w:val="17"/>
        <w:szCs w:val="17"/>
      </w:rPr>
      <w:t xml:space="preserve">  Environmental Health &amp; Safety</w:t>
    </w:r>
    <w:r>
      <w:rPr>
        <w:color w:val="5B5B5B"/>
        <w:sz w:val="17"/>
        <w:szCs w:val="17"/>
      </w:rPr>
      <w:tab/>
      <w:t>Biosafety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F16"/>
    <w:multiLevelType w:val="hybridMultilevel"/>
    <w:tmpl w:val="F1CEECC0"/>
    <w:lvl w:ilvl="0" w:tplc="2B966CA0">
      <w:start w:val="1"/>
      <w:numFmt w:val="bullet"/>
      <w:lvlText w:val="●"/>
      <w:lvlJc w:val="left"/>
      <w:pPr>
        <w:ind w:left="720" w:hanging="360"/>
      </w:pPr>
    </w:lvl>
    <w:lvl w:ilvl="1" w:tplc="BDF4E0F2">
      <w:start w:val="1"/>
      <w:numFmt w:val="bullet"/>
      <w:lvlText w:val="○"/>
      <w:lvlJc w:val="left"/>
      <w:pPr>
        <w:ind w:left="1440" w:hanging="360"/>
      </w:pPr>
    </w:lvl>
    <w:lvl w:ilvl="2" w:tplc="5140615C">
      <w:start w:val="1"/>
      <w:numFmt w:val="bullet"/>
      <w:lvlText w:val="■"/>
      <w:lvlJc w:val="left"/>
      <w:pPr>
        <w:ind w:left="2160" w:hanging="360"/>
      </w:pPr>
    </w:lvl>
    <w:lvl w:ilvl="3" w:tplc="6090F006">
      <w:start w:val="1"/>
      <w:numFmt w:val="bullet"/>
      <w:lvlText w:val="●"/>
      <w:lvlJc w:val="left"/>
      <w:pPr>
        <w:ind w:left="2880" w:hanging="360"/>
      </w:pPr>
    </w:lvl>
    <w:lvl w:ilvl="4" w:tplc="CB48035A">
      <w:start w:val="1"/>
      <w:numFmt w:val="bullet"/>
      <w:lvlText w:val="○"/>
      <w:lvlJc w:val="left"/>
      <w:pPr>
        <w:ind w:left="3600" w:hanging="360"/>
      </w:pPr>
    </w:lvl>
    <w:lvl w:ilvl="5" w:tplc="FDAAF2AC">
      <w:start w:val="1"/>
      <w:numFmt w:val="bullet"/>
      <w:lvlText w:val="■"/>
      <w:lvlJc w:val="left"/>
      <w:pPr>
        <w:ind w:left="4320" w:hanging="360"/>
      </w:pPr>
    </w:lvl>
    <w:lvl w:ilvl="6" w:tplc="73528004">
      <w:start w:val="1"/>
      <w:numFmt w:val="bullet"/>
      <w:lvlText w:val="●"/>
      <w:lvlJc w:val="left"/>
      <w:pPr>
        <w:ind w:left="5040" w:hanging="360"/>
      </w:pPr>
    </w:lvl>
    <w:lvl w:ilvl="7" w:tplc="88F808E8">
      <w:start w:val="1"/>
      <w:numFmt w:val="bullet"/>
      <w:lvlText w:val="●"/>
      <w:lvlJc w:val="left"/>
      <w:pPr>
        <w:ind w:left="5760" w:hanging="360"/>
      </w:pPr>
    </w:lvl>
    <w:lvl w:ilvl="8" w:tplc="04569B22">
      <w:start w:val="1"/>
      <w:numFmt w:val="bullet"/>
      <w:lvlText w:val="●"/>
      <w:lvlJc w:val="left"/>
      <w:pPr>
        <w:ind w:left="6480" w:hanging="360"/>
      </w:pPr>
    </w:lvl>
  </w:abstractNum>
  <w:abstractNum w:abstractNumId="1" w15:restartNumberingAfterBreak="0">
    <w:nsid w:val="53D30652"/>
    <w:multiLevelType w:val="hybridMultilevel"/>
    <w:tmpl w:val="3A2AB546"/>
    <w:lvl w:ilvl="0" w:tplc="C4523242">
      <w:start w:val="1"/>
      <w:numFmt w:val="bullet"/>
      <w:lvlText w:val="•"/>
      <w:lvlJc w:val="left"/>
      <w:pPr>
        <w:ind w:left="460" w:hanging="260"/>
      </w:pPr>
      <w:rPr>
        <w:color w:val="002856"/>
      </w:rPr>
    </w:lvl>
    <w:lvl w:ilvl="1" w:tplc="783E45E6">
      <w:numFmt w:val="decimal"/>
      <w:lvlText w:val=""/>
      <w:lvlJc w:val="left"/>
    </w:lvl>
    <w:lvl w:ilvl="2" w:tplc="DB50449A">
      <w:numFmt w:val="decimal"/>
      <w:lvlText w:val=""/>
      <w:lvlJc w:val="left"/>
    </w:lvl>
    <w:lvl w:ilvl="3" w:tplc="35E04324">
      <w:numFmt w:val="decimal"/>
      <w:lvlText w:val=""/>
      <w:lvlJc w:val="left"/>
    </w:lvl>
    <w:lvl w:ilvl="4" w:tplc="31E6B874">
      <w:numFmt w:val="decimal"/>
      <w:lvlText w:val=""/>
      <w:lvlJc w:val="left"/>
    </w:lvl>
    <w:lvl w:ilvl="5" w:tplc="D08076FA">
      <w:numFmt w:val="decimal"/>
      <w:lvlText w:val=""/>
      <w:lvlJc w:val="left"/>
    </w:lvl>
    <w:lvl w:ilvl="6" w:tplc="BFFA8D4E">
      <w:numFmt w:val="decimal"/>
      <w:lvlText w:val=""/>
      <w:lvlJc w:val="left"/>
    </w:lvl>
    <w:lvl w:ilvl="7" w:tplc="83C82440">
      <w:numFmt w:val="decimal"/>
      <w:lvlText w:val=""/>
      <w:lvlJc w:val="left"/>
    </w:lvl>
    <w:lvl w:ilvl="8" w:tplc="F89E5F50">
      <w:numFmt w:val="decimal"/>
      <w:lvlText w:val=""/>
      <w:lvlJc w:val="left"/>
    </w:lvl>
  </w:abstractNum>
  <w:num w:numId="1" w16cid:durableId="1276643164">
    <w:abstractNumId w:val="0"/>
    <w:lvlOverride w:ilvl="0">
      <w:startOverride w:val="1"/>
    </w:lvlOverride>
  </w:num>
  <w:num w:numId="2" w16cid:durableId="6173012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A8"/>
    <w:rsid w:val="00055CA8"/>
    <w:rsid w:val="003C75C6"/>
    <w:rsid w:val="004F7E0A"/>
    <w:rsid w:val="008B4028"/>
    <w:rsid w:val="00904072"/>
    <w:rsid w:val="00B83608"/>
    <w:rsid w:val="00F00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1341"/>
  <w15:docId w15:val="{68B4CD4F-19AC-403D-8C4E-8D08DD6C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0" w:space="4" w:color="DAA900"/>
      </w:pBdr>
      <w:spacing w:before="200" w:after="90"/>
      <w:outlineLvl w:val="0"/>
    </w:pPr>
    <w:rPr>
      <w:b/>
      <w:bCs/>
      <w:color w:val="002856"/>
      <w:sz w:val="28"/>
      <w:szCs w:val="28"/>
    </w:rPr>
  </w:style>
  <w:style w:type="paragraph" w:styleId="Heading2">
    <w:name w:val="heading 2"/>
    <w:uiPriority w:val="9"/>
    <w:unhideWhenUsed/>
    <w:qFormat/>
    <w:pPr>
      <w:spacing w:before="160" w:after="60"/>
      <w:outlineLvl w:val="1"/>
    </w:pPr>
    <w:rPr>
      <w:b/>
      <w:bCs/>
      <w:color w:val="005487"/>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pBdr>
        <w:bottom w:val="single" w:sz="18" w:space="4" w:color="DAA900"/>
      </w:pBdr>
      <w:spacing w:before="40" w:after="40"/>
    </w:pPr>
    <w:rPr>
      <w:b/>
      <w:bCs/>
      <w:color w:val="002856"/>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dc.gov/labs/BMBL.html" TargetMode="External"/><Relationship Id="rId3" Type="http://schemas.openxmlformats.org/officeDocument/2006/relationships/settings" Target="settings.xml"/><Relationship Id="rId7" Type="http://schemas.openxmlformats.org/officeDocument/2006/relationships/hyperlink" Target="https://osp.od.nih.gov/policies/biosafety-and-biosecurity-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1647</Words>
  <Characters>9390</Characters>
  <Application>Microsoft Office Word</Application>
  <DocSecurity>0</DocSecurity>
  <Lines>78</Lines>
  <Paragraphs>22</Paragraphs>
  <ScaleCrop>false</ScaleCrop>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Research and IBC Review — IACUC Quick Reference</dc:title>
  <dc:creator>UC Merced Environmental Health &amp; Safety</dc:creator>
  <dc:description>Branded, accessible quick reference for the UC Merced IACUC.</dc:description>
  <cp:lastModifiedBy>Matthew Gallman</cp:lastModifiedBy>
  <cp:revision>4</cp:revision>
  <dcterms:created xsi:type="dcterms:W3CDTF">2026-06-18T01:02:00Z</dcterms:created>
  <dcterms:modified xsi:type="dcterms:W3CDTF">2026-06-18T01:10:00Z</dcterms:modified>
</cp:coreProperties>
</file>