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32BD3" w14:textId="77777777" w:rsidR="00CC3177" w:rsidRPr="00EF183C" w:rsidRDefault="00CC3177" w:rsidP="00EF183C">
      <w:pPr>
        <w:pStyle w:val="HeaderFooter"/>
        <w:tabs>
          <w:tab w:val="clear" w:pos="9020"/>
          <w:tab w:val="center" w:pos="4680"/>
          <w:tab w:val="right" w:pos="9360"/>
        </w:tabs>
        <w:jc w:val="center"/>
        <w:rPr>
          <w:rFonts w:ascii="Times New Roman" w:hAnsi="Times New Roman" w:cs="Times New Roman"/>
          <w:sz w:val="24"/>
          <w:szCs w:val="24"/>
        </w:rPr>
      </w:pPr>
      <w:r w:rsidRPr="00EF183C">
        <w:rPr>
          <w:rFonts w:ascii="Times New Roman" w:hAnsi="Times New Roman" w:cs="Times New Roman"/>
          <w:b/>
          <w:bCs/>
          <w:sz w:val="24"/>
          <w:szCs w:val="24"/>
        </w:rPr>
        <w:t>Experimental and Humane Endpoints</w:t>
      </w:r>
    </w:p>
    <w:p w14:paraId="32155E83" w14:textId="77777777" w:rsidR="00CC3177" w:rsidRPr="00EF183C" w:rsidRDefault="00CC3177">
      <w:pPr>
        <w:pStyle w:val="Body"/>
        <w:jc w:val="both"/>
        <w:rPr>
          <w:rFonts w:ascii="Times New Roman" w:hAnsi="Times New Roman" w:cs="Times New Roman"/>
          <w:b/>
          <w:bCs/>
          <w:i/>
          <w:iCs/>
        </w:rPr>
      </w:pPr>
    </w:p>
    <w:p w14:paraId="1A4CE0C5" w14:textId="77777777" w:rsidR="00B32C5E" w:rsidRDefault="00B32C5E">
      <w:pPr>
        <w:pStyle w:val="Body"/>
        <w:jc w:val="both"/>
        <w:rPr>
          <w:rFonts w:ascii="Times New Roman" w:hAnsi="Times New Roman" w:cs="Times New Roman"/>
          <w:b/>
          <w:bCs/>
        </w:rPr>
      </w:pPr>
      <w:r>
        <w:rPr>
          <w:rFonts w:ascii="Times New Roman" w:hAnsi="Times New Roman" w:cs="Times New Roman"/>
          <w:b/>
          <w:bCs/>
        </w:rPr>
        <w:t xml:space="preserve">I.  Background </w:t>
      </w:r>
    </w:p>
    <w:p w14:paraId="57EE8D9C" w14:textId="59909264" w:rsidR="00E8424D" w:rsidRPr="00EF183C" w:rsidRDefault="00047E01">
      <w:pPr>
        <w:pStyle w:val="Body"/>
        <w:jc w:val="both"/>
        <w:rPr>
          <w:rFonts w:ascii="Times New Roman" w:hAnsi="Times New Roman" w:cs="Times New Roman"/>
        </w:rPr>
      </w:pPr>
      <w:r w:rsidRPr="00EF183C">
        <w:rPr>
          <w:rFonts w:ascii="Times New Roman" w:hAnsi="Times New Roman" w:cs="Times New Roman"/>
          <w:b/>
          <w:bCs/>
          <w:i/>
          <w:iCs/>
        </w:rPr>
        <w:t xml:space="preserve">The </w:t>
      </w:r>
      <w:r w:rsidR="69AE48EF" w:rsidRPr="00EF183C">
        <w:rPr>
          <w:rFonts w:ascii="Times New Roman" w:hAnsi="Times New Roman" w:cs="Times New Roman"/>
          <w:b/>
          <w:bCs/>
          <w:i/>
          <w:iCs/>
        </w:rPr>
        <w:t>Guide</w:t>
      </w:r>
      <w:r w:rsidR="69AE48EF" w:rsidRPr="00EF183C">
        <w:rPr>
          <w:rFonts w:ascii="Times New Roman" w:hAnsi="Times New Roman" w:cs="Times New Roman"/>
        </w:rPr>
        <w:t xml:space="preserve"> (p.27</w:t>
      </w:r>
      <w:r w:rsidRPr="00EF183C">
        <w:rPr>
          <w:rFonts w:ascii="Times New Roman" w:hAnsi="Times New Roman" w:cs="Times New Roman"/>
        </w:rPr>
        <w:t>, 8</w:t>
      </w:r>
      <w:r w:rsidRPr="00EF183C">
        <w:rPr>
          <w:rFonts w:ascii="Times New Roman" w:hAnsi="Times New Roman" w:cs="Times New Roman"/>
          <w:vertAlign w:val="superscript"/>
        </w:rPr>
        <w:t>th</w:t>
      </w:r>
      <w:r w:rsidRPr="00EF183C">
        <w:rPr>
          <w:rFonts w:ascii="Times New Roman" w:hAnsi="Times New Roman" w:cs="Times New Roman"/>
        </w:rPr>
        <w:t xml:space="preserve"> ed.</w:t>
      </w:r>
      <w:r w:rsidR="69AE48EF" w:rsidRPr="00EF183C">
        <w:rPr>
          <w:rFonts w:ascii="Times New Roman" w:hAnsi="Times New Roman" w:cs="Times New Roman"/>
        </w:rPr>
        <w:t>): “Certain animal use protocols include procedures or approaches that require special consideration during the IACUC review process due to their potential for unrelieved pain or distress or other animal welfare concerns … the IACUC is obliged to weigh the objectives of the study against potential animal welfare concerns.”</w:t>
      </w:r>
    </w:p>
    <w:p w14:paraId="75BB6C64" w14:textId="77777777" w:rsidR="00E8424D" w:rsidRPr="00EF183C" w:rsidRDefault="00E8424D">
      <w:pPr>
        <w:pStyle w:val="Body"/>
        <w:rPr>
          <w:rFonts w:ascii="Times New Roman" w:hAnsi="Times New Roman" w:cs="Times New Roman"/>
        </w:rPr>
      </w:pPr>
    </w:p>
    <w:p w14:paraId="7BE5AA30" w14:textId="0A540337" w:rsidR="00E8424D" w:rsidRPr="00EF183C" w:rsidRDefault="69AE48EF" w:rsidP="00EF183C">
      <w:pPr>
        <w:pStyle w:val="Body"/>
        <w:jc w:val="both"/>
        <w:rPr>
          <w:rFonts w:ascii="Times New Roman" w:hAnsi="Times New Roman" w:cs="Times New Roman"/>
        </w:rPr>
      </w:pPr>
      <w:r w:rsidRPr="00EF183C">
        <w:rPr>
          <w:rFonts w:ascii="Times New Roman" w:hAnsi="Times New Roman" w:cs="Times New Roman"/>
          <w:b/>
          <w:bCs/>
        </w:rPr>
        <w:t>AAALAC</w:t>
      </w:r>
      <w:r w:rsidRPr="00EF183C">
        <w:rPr>
          <w:rFonts w:ascii="Times New Roman" w:hAnsi="Times New Roman" w:cs="Times New Roman"/>
        </w:rPr>
        <w:t xml:space="preserve"> has developed </w:t>
      </w:r>
      <w:hyperlink r:id="rId7" w:history="1">
        <w:r w:rsidRPr="00EF183C">
          <w:rPr>
            <w:rStyle w:val="Hyperlink0"/>
            <w:rFonts w:ascii="Times New Roman" w:hAnsi="Times New Roman" w:cs="Times New Roman"/>
          </w:rPr>
          <w:t>FAQs</w:t>
        </w:r>
      </w:hyperlink>
      <w:r w:rsidRPr="00EF183C">
        <w:rPr>
          <w:rFonts w:ascii="Times New Roman" w:hAnsi="Times New Roman" w:cs="Times New Roman"/>
        </w:rPr>
        <w:t xml:space="preserve"> to address the subtle reference to a Harm-Benefit assessment, “The 2011 </w:t>
      </w:r>
      <w:r w:rsidRPr="00EF183C">
        <w:rPr>
          <w:rFonts w:ascii="Times New Roman" w:hAnsi="Times New Roman" w:cs="Times New Roman"/>
          <w:i/>
          <w:iCs/>
          <w:lang w:val="nl-NL"/>
        </w:rPr>
        <w:t>Guide</w:t>
      </w:r>
      <w:r w:rsidRPr="00EF183C">
        <w:rPr>
          <w:rFonts w:ascii="Times New Roman" w:hAnsi="Times New Roman" w:cs="Times New Roman"/>
        </w:rPr>
        <w:t xml:space="preserve"> specifies that the Committee [IACUC] is obliged to weigh study objectives against animal welfare concerns in accordance with the tenets of the Three R’s. This analysis is typically already performed by IACUCs in their reviews of proposed animal studies. AAALAC International expects that IACUC’s (or comparable oversight body), as part of the protocol review process, will weigh the potential adverse effects of the study against the potential benefits that are likely to accrue as a result of the research. This analysis should be performed prior to the final approval of the </w:t>
      </w:r>
      <w:proofErr w:type="gramStart"/>
      <w:r w:rsidRPr="00EF183C">
        <w:rPr>
          <w:rFonts w:ascii="Times New Roman" w:hAnsi="Times New Roman" w:cs="Times New Roman"/>
        </w:rPr>
        <w:t>protocol, and</w:t>
      </w:r>
      <w:proofErr w:type="gramEnd"/>
      <w:r w:rsidRPr="00EF183C">
        <w:rPr>
          <w:rFonts w:ascii="Times New Roman" w:hAnsi="Times New Roman" w:cs="Times New Roman"/>
        </w:rPr>
        <w:t xml:space="preserve"> should be a primary consideration in the review process. For animal use activities potentially involving pain and/or distress or other animal welfare concerns, the AAALAC International site visitors will assess how the Committee conducts this analysis.”</w:t>
      </w:r>
    </w:p>
    <w:p w14:paraId="032A39E3" w14:textId="3BC810BD" w:rsidR="00002C4A" w:rsidRDefault="00002C4A">
      <w:pPr>
        <w:pStyle w:val="Body"/>
        <w:jc w:val="both"/>
        <w:rPr>
          <w:rFonts w:ascii="Times New Roman" w:hAnsi="Times New Roman" w:cs="Times New Roman"/>
          <w:b/>
          <w:bCs/>
        </w:rPr>
      </w:pPr>
    </w:p>
    <w:p w14:paraId="39067264" w14:textId="77777777" w:rsidR="00A149D7" w:rsidRDefault="00A149D7" w:rsidP="00A149D7">
      <w:pPr>
        <w:pStyle w:val="Body0"/>
        <w:rPr>
          <w:rFonts w:ascii="Times New Roman" w:hAnsi="Times New Roman" w:cs="Times New Roman"/>
          <w:b/>
          <w:bCs/>
        </w:rPr>
      </w:pPr>
      <w:r w:rsidRPr="00497612">
        <w:rPr>
          <w:rFonts w:ascii="Times New Roman" w:hAnsi="Times New Roman" w:cs="Times New Roman"/>
          <w:b/>
          <w:bCs/>
        </w:rPr>
        <w:t>I</w:t>
      </w:r>
      <w:r>
        <w:rPr>
          <w:rFonts w:ascii="Times New Roman" w:hAnsi="Times New Roman" w:cs="Times New Roman"/>
          <w:b/>
          <w:bCs/>
        </w:rPr>
        <w:t>I</w:t>
      </w:r>
      <w:r w:rsidRPr="00497612">
        <w:rPr>
          <w:rFonts w:ascii="Times New Roman" w:hAnsi="Times New Roman" w:cs="Times New Roman"/>
          <w:b/>
          <w:bCs/>
        </w:rPr>
        <w:t xml:space="preserve">. </w:t>
      </w:r>
      <w:r>
        <w:rPr>
          <w:rFonts w:ascii="Times New Roman" w:hAnsi="Times New Roman" w:cs="Times New Roman"/>
          <w:b/>
          <w:bCs/>
        </w:rPr>
        <w:t>Purpose</w:t>
      </w:r>
      <w:r w:rsidRPr="00497612">
        <w:rPr>
          <w:rFonts w:ascii="Times New Roman" w:hAnsi="Times New Roman" w:cs="Times New Roman"/>
          <w:b/>
          <w:bCs/>
        </w:rPr>
        <w:t>:</w:t>
      </w:r>
    </w:p>
    <w:p w14:paraId="785510AF" w14:textId="51CDB74E" w:rsidR="00594E97" w:rsidRDefault="00594E97">
      <w:pPr>
        <w:pStyle w:val="Body"/>
        <w:jc w:val="both"/>
        <w:rPr>
          <w:rFonts w:ascii="Times New Roman" w:hAnsi="Times New Roman" w:cs="Times New Roman"/>
        </w:rPr>
      </w:pPr>
      <w:r w:rsidRPr="00594E97">
        <w:rPr>
          <w:rFonts w:ascii="Times New Roman" w:hAnsi="Times New Roman" w:cs="Times New Roman"/>
        </w:rPr>
        <w:t xml:space="preserve">The purpose of this </w:t>
      </w:r>
      <w:r w:rsidR="00EB712A">
        <w:rPr>
          <w:rFonts w:ascii="Times New Roman" w:hAnsi="Times New Roman" w:cs="Times New Roman"/>
        </w:rPr>
        <w:t xml:space="preserve">document </w:t>
      </w:r>
      <w:r w:rsidRPr="00594E97">
        <w:rPr>
          <w:rFonts w:ascii="Times New Roman" w:hAnsi="Times New Roman" w:cs="Times New Roman"/>
        </w:rPr>
        <w:t>is to provide criteria for identifying and utilizing the earliest endpoints that are compatible with the scientific objective of research studies while preventing, minimizing, or alleviating any actual or potential pain, distress or discomfort to study animals.</w:t>
      </w:r>
    </w:p>
    <w:p w14:paraId="3388E550" w14:textId="77777777" w:rsidR="00672F46" w:rsidRDefault="00672F46">
      <w:pPr>
        <w:pStyle w:val="Body"/>
        <w:jc w:val="both"/>
        <w:rPr>
          <w:rFonts w:ascii="Times New Roman" w:hAnsi="Times New Roman" w:cs="Times New Roman"/>
          <w:b/>
          <w:bCs/>
        </w:rPr>
      </w:pPr>
    </w:p>
    <w:p w14:paraId="43E1B875" w14:textId="0A63D902" w:rsidR="00A149D7" w:rsidRDefault="00A149D7">
      <w:pPr>
        <w:pStyle w:val="Body"/>
        <w:jc w:val="both"/>
        <w:rPr>
          <w:rFonts w:ascii="Times New Roman" w:hAnsi="Times New Roman" w:cs="Times New Roman"/>
          <w:b/>
          <w:bCs/>
        </w:rPr>
      </w:pPr>
      <w:r>
        <w:rPr>
          <w:rFonts w:ascii="Times New Roman" w:hAnsi="Times New Roman" w:cs="Times New Roman"/>
          <w:b/>
          <w:bCs/>
        </w:rPr>
        <w:t xml:space="preserve">III. Guidelines </w:t>
      </w:r>
    </w:p>
    <w:p w14:paraId="34BEF1C5" w14:textId="5ACBFE8C" w:rsidR="00E8424D" w:rsidRPr="00EF183C" w:rsidRDefault="333BFBF6">
      <w:pPr>
        <w:pStyle w:val="Body"/>
        <w:jc w:val="both"/>
        <w:rPr>
          <w:rFonts w:ascii="Times New Roman" w:hAnsi="Times New Roman" w:cs="Times New Roman"/>
        </w:rPr>
      </w:pPr>
      <w:proofErr w:type="spellStart"/>
      <w:r w:rsidRPr="00EF183C">
        <w:rPr>
          <w:rFonts w:ascii="Times New Roman" w:hAnsi="Times New Roman" w:cs="Times New Roman"/>
          <w:b/>
          <w:bCs/>
        </w:rPr>
        <w:t>Prodromata</w:t>
      </w:r>
      <w:proofErr w:type="spellEnd"/>
      <w:r w:rsidRPr="00EF183C">
        <w:rPr>
          <w:rFonts w:ascii="Times New Roman" w:hAnsi="Times New Roman" w:cs="Times New Roman"/>
          <w:b/>
          <w:bCs/>
        </w:rPr>
        <w:t>, Morbidity, Moribundity, Death</w:t>
      </w:r>
      <w:r w:rsidRPr="00EF183C">
        <w:rPr>
          <w:rFonts w:ascii="Times New Roman" w:hAnsi="Times New Roman" w:cs="Times New Roman"/>
        </w:rPr>
        <w:t xml:space="preserve">: The earliest possible endpoint should be used. This may be </w:t>
      </w:r>
      <w:proofErr w:type="spellStart"/>
      <w:r w:rsidRPr="00EF183C">
        <w:rPr>
          <w:rFonts w:ascii="Times New Roman" w:hAnsi="Times New Roman" w:cs="Times New Roman"/>
        </w:rPr>
        <w:t>prodromata</w:t>
      </w:r>
      <w:proofErr w:type="spellEnd"/>
      <w:r w:rsidRPr="00EF183C">
        <w:rPr>
          <w:rFonts w:ascii="Times New Roman" w:hAnsi="Times New Roman" w:cs="Times New Roman"/>
        </w:rPr>
        <w:t xml:space="preserve"> (before specific clinical signs develop), morbidity (showing clinical signs), moribundity (an irreversible condition leading to death) or death as an endpoint. </w:t>
      </w:r>
      <w:r w:rsidRPr="00EB6769">
        <w:rPr>
          <w:rFonts w:ascii="Times New Roman" w:hAnsi="Times New Roman" w:cs="Times New Roman"/>
          <w:color w:val="auto"/>
        </w:rPr>
        <w:t xml:space="preserve">Some species (e.g., rodents) are prey species and therefore frequently appear normal and do not show </w:t>
      </w:r>
      <w:r w:rsidR="00672F46" w:rsidRPr="00EB6769">
        <w:rPr>
          <w:rFonts w:ascii="Times New Roman" w:hAnsi="Times New Roman" w:cs="Times New Roman"/>
          <w:color w:val="auto"/>
        </w:rPr>
        <w:t xml:space="preserve">clinical </w:t>
      </w:r>
      <w:r w:rsidRPr="00EB6769">
        <w:rPr>
          <w:rFonts w:ascii="Times New Roman" w:hAnsi="Times New Roman" w:cs="Times New Roman"/>
          <w:color w:val="auto"/>
        </w:rPr>
        <w:t>signs until they have significant compromise</w:t>
      </w:r>
      <w:r w:rsidR="00047E01" w:rsidRPr="00EB6769">
        <w:rPr>
          <w:rFonts w:ascii="Times New Roman" w:hAnsi="Times New Roman" w:cs="Times New Roman"/>
          <w:color w:val="auto"/>
        </w:rPr>
        <w:t>.</w:t>
      </w:r>
      <w:r w:rsidRPr="00EB6769">
        <w:rPr>
          <w:rFonts w:ascii="Times New Roman" w:hAnsi="Times New Roman" w:cs="Times New Roman"/>
          <w:color w:val="auto"/>
        </w:rPr>
        <w:t xml:space="preserve"> </w:t>
      </w:r>
      <w:r w:rsidRPr="00EF183C">
        <w:rPr>
          <w:rFonts w:ascii="Times New Roman" w:hAnsi="Times New Roman" w:cs="Times New Roman"/>
        </w:rPr>
        <w:t>The necessity of frequent and documented observations is vital, especially in some animal models where autolysis occurs in the morbidity/moribundity phase and progresses rapidly following death. Cage mate cannibalism may occur and complicate matters.</w:t>
      </w:r>
    </w:p>
    <w:p w14:paraId="1C4DCFA3" w14:textId="77777777" w:rsidR="00E8424D" w:rsidRPr="00EF183C" w:rsidRDefault="00E8424D">
      <w:pPr>
        <w:pStyle w:val="Body"/>
        <w:rPr>
          <w:rFonts w:ascii="Times New Roman" w:hAnsi="Times New Roman" w:cs="Times New Roman"/>
        </w:rPr>
      </w:pPr>
    </w:p>
    <w:p w14:paraId="7023551D" w14:textId="5EF1390B" w:rsidR="00E8424D" w:rsidRPr="00EF183C" w:rsidRDefault="65FBCA17">
      <w:pPr>
        <w:pStyle w:val="Body"/>
        <w:jc w:val="both"/>
        <w:rPr>
          <w:rFonts w:ascii="Times New Roman" w:hAnsi="Times New Roman" w:cs="Times New Roman"/>
        </w:rPr>
      </w:pPr>
      <w:r w:rsidRPr="00EF183C">
        <w:rPr>
          <w:rFonts w:ascii="Times New Roman" w:hAnsi="Times New Roman" w:cs="Times New Roman"/>
          <w:b/>
          <w:bCs/>
        </w:rPr>
        <w:t>Pilot studies</w:t>
      </w:r>
      <w:r w:rsidRPr="00EF183C">
        <w:rPr>
          <w:rFonts w:ascii="Times New Roman" w:hAnsi="Times New Roman" w:cs="Times New Roman"/>
        </w:rPr>
        <w:t xml:space="preserve"> may play a critical role towards identifying pertinent and objective experimental and humane endpoints. Optimal endpoint parameters frequently require the researcher to </w:t>
      </w:r>
      <w:proofErr w:type="gramStart"/>
      <w:r w:rsidRPr="00EF183C">
        <w:rPr>
          <w:rFonts w:ascii="Times New Roman" w:hAnsi="Times New Roman" w:cs="Times New Roman"/>
        </w:rPr>
        <w:t>improve  understanding</w:t>
      </w:r>
      <w:proofErr w:type="gramEnd"/>
      <w:r w:rsidRPr="00EF183C">
        <w:rPr>
          <w:rFonts w:ascii="Times New Roman" w:hAnsi="Times New Roman" w:cs="Times New Roman"/>
        </w:rPr>
        <w:t xml:space="preserve"> of the animal, animal model, and overall disease process, as various critical endpoint parameters may either go unrecognized (data not collected) or not curated (fine tuning an endpoint). Additionally, pilot studies can be pivotal to elucidating appropriate animal numbers. </w:t>
      </w:r>
    </w:p>
    <w:p w14:paraId="16851C85" w14:textId="77777777" w:rsidR="00E8424D" w:rsidRPr="00EF183C" w:rsidRDefault="00E8424D">
      <w:pPr>
        <w:pStyle w:val="Body"/>
        <w:rPr>
          <w:rFonts w:ascii="Times New Roman" w:hAnsi="Times New Roman" w:cs="Times New Roman"/>
        </w:rPr>
      </w:pPr>
    </w:p>
    <w:p w14:paraId="0BA3CBD9" w14:textId="77777777" w:rsidR="00E8424D" w:rsidRPr="00EF183C" w:rsidRDefault="001D7EB3">
      <w:pPr>
        <w:pStyle w:val="Body"/>
        <w:rPr>
          <w:rFonts w:ascii="Times New Roman" w:hAnsi="Times New Roman" w:cs="Times New Roman"/>
        </w:rPr>
      </w:pPr>
      <w:r w:rsidRPr="00EF183C">
        <w:rPr>
          <w:rFonts w:ascii="Times New Roman" w:hAnsi="Times New Roman" w:cs="Times New Roman"/>
        </w:rPr>
        <w:t xml:space="preserve">The topic of Experimental and Humane Endpoints brings together several elements found in the </w:t>
      </w:r>
      <w:r w:rsidRPr="00EF183C">
        <w:rPr>
          <w:rFonts w:ascii="Times New Roman" w:hAnsi="Times New Roman" w:cs="Times New Roman"/>
          <w:i/>
          <w:iCs/>
        </w:rPr>
        <w:t>Guide</w:t>
      </w:r>
      <w:r w:rsidRPr="00EF183C">
        <w:rPr>
          <w:rFonts w:ascii="Times New Roman" w:hAnsi="Times New Roman" w:cs="Times New Roman"/>
        </w:rPr>
        <w:t>, including the following:</w:t>
      </w:r>
    </w:p>
    <w:p w14:paraId="25CFF9C8" w14:textId="77777777" w:rsidR="00E8424D" w:rsidRPr="00EF183C" w:rsidRDefault="001D7EB3">
      <w:pPr>
        <w:pStyle w:val="Body"/>
        <w:numPr>
          <w:ilvl w:val="0"/>
          <w:numId w:val="2"/>
        </w:numPr>
        <w:rPr>
          <w:rFonts w:ascii="Times New Roman" w:hAnsi="Times New Roman" w:cs="Times New Roman"/>
        </w:rPr>
      </w:pPr>
      <w:r w:rsidRPr="00EF183C">
        <w:rPr>
          <w:rFonts w:ascii="Times New Roman" w:hAnsi="Times New Roman" w:cs="Times New Roman"/>
        </w:rPr>
        <w:t>Humane endpoints</w:t>
      </w:r>
    </w:p>
    <w:p w14:paraId="36AE3F1B" w14:textId="77777777" w:rsidR="00E8424D" w:rsidRPr="00EF183C" w:rsidRDefault="001D7EB3">
      <w:pPr>
        <w:pStyle w:val="Body"/>
        <w:numPr>
          <w:ilvl w:val="0"/>
          <w:numId w:val="2"/>
        </w:numPr>
        <w:rPr>
          <w:rFonts w:ascii="Times New Roman" w:hAnsi="Times New Roman" w:cs="Times New Roman"/>
        </w:rPr>
      </w:pPr>
      <w:r w:rsidRPr="00EF183C">
        <w:rPr>
          <w:rFonts w:ascii="Times New Roman" w:hAnsi="Times New Roman" w:cs="Times New Roman"/>
        </w:rPr>
        <w:lastRenderedPageBreak/>
        <w:t>Cost-benefit (harm-benefit)</w:t>
      </w:r>
    </w:p>
    <w:p w14:paraId="55B7B34B" w14:textId="77777777" w:rsidR="00E8424D" w:rsidRPr="00EF183C" w:rsidRDefault="001D7EB3">
      <w:pPr>
        <w:pStyle w:val="Body"/>
        <w:numPr>
          <w:ilvl w:val="0"/>
          <w:numId w:val="2"/>
        </w:numPr>
        <w:rPr>
          <w:rFonts w:ascii="Times New Roman" w:hAnsi="Times New Roman" w:cs="Times New Roman"/>
        </w:rPr>
      </w:pPr>
      <w:r w:rsidRPr="00EF183C">
        <w:rPr>
          <w:rFonts w:ascii="Times New Roman" w:hAnsi="Times New Roman" w:cs="Times New Roman"/>
        </w:rPr>
        <w:t>3Rs (specifically addressing experimental refinement and reduction in pain/distress)</w:t>
      </w:r>
    </w:p>
    <w:p w14:paraId="03661ED7" w14:textId="77777777" w:rsidR="00E8424D" w:rsidRPr="00EF183C" w:rsidRDefault="00E8424D">
      <w:pPr>
        <w:pStyle w:val="Body"/>
        <w:rPr>
          <w:rFonts w:ascii="Times New Roman" w:hAnsi="Times New Roman" w:cs="Times New Roman"/>
        </w:rPr>
      </w:pPr>
    </w:p>
    <w:p w14:paraId="7FB9C25E" w14:textId="1266231F" w:rsidR="00E8424D" w:rsidRPr="00EF183C" w:rsidRDefault="75F2FDA3">
      <w:pPr>
        <w:pStyle w:val="Body"/>
        <w:jc w:val="both"/>
        <w:rPr>
          <w:rFonts w:ascii="Times New Roman" w:hAnsi="Times New Roman" w:cs="Times New Roman"/>
        </w:rPr>
      </w:pPr>
      <w:r w:rsidRPr="00EF183C">
        <w:rPr>
          <w:rFonts w:ascii="Times New Roman" w:hAnsi="Times New Roman" w:cs="Times New Roman"/>
        </w:rPr>
        <w:t>The topic can broadly be separated into acute vs. chronic endpoints</w:t>
      </w:r>
      <w:r w:rsidR="00B93DFE">
        <w:rPr>
          <w:rFonts w:ascii="Times New Roman" w:hAnsi="Times New Roman" w:cs="Times New Roman"/>
        </w:rPr>
        <w:t>.</w:t>
      </w:r>
      <w:r w:rsidRPr="00EF183C">
        <w:rPr>
          <w:rFonts w:ascii="Times New Roman" w:hAnsi="Times New Roman" w:cs="Times New Roman"/>
        </w:rPr>
        <w:t xml:space="preserve"> </w:t>
      </w:r>
      <w:r w:rsidR="00B93DFE">
        <w:rPr>
          <w:rFonts w:ascii="Times New Roman" w:hAnsi="Times New Roman" w:cs="Times New Roman"/>
        </w:rPr>
        <w:t>S</w:t>
      </w:r>
      <w:r w:rsidRPr="00EF183C">
        <w:rPr>
          <w:rFonts w:ascii="Times New Roman" w:hAnsi="Times New Roman" w:cs="Times New Roman"/>
        </w:rPr>
        <w:t xml:space="preserve">ome animal models may unintentionally or unexpectedly develop rapidly, while the consideration for chronic endpoints (e.g., body condition scoring) may take days to weeks or longer to develop before a decision must be rendered (sometimes abruptly) to remove an animal from an experimental study. Regardless, an animal’s removal from a study minimizes the animal’s pain and distress and will likely enhance the data obtained vs. the animal dying and tissues being lost to </w:t>
      </w:r>
      <w:r w:rsidR="00B93DFE">
        <w:rPr>
          <w:rFonts w:ascii="Times New Roman" w:hAnsi="Times New Roman" w:cs="Times New Roman"/>
        </w:rPr>
        <w:t xml:space="preserve">cage mate cannibalism or </w:t>
      </w:r>
      <w:r w:rsidRPr="00EF183C">
        <w:rPr>
          <w:rFonts w:ascii="Times New Roman" w:hAnsi="Times New Roman" w:cs="Times New Roman"/>
        </w:rPr>
        <w:t>autolysis</w:t>
      </w:r>
      <w:r w:rsidR="00B93DFE">
        <w:rPr>
          <w:rFonts w:ascii="Times New Roman" w:hAnsi="Times New Roman" w:cs="Times New Roman"/>
        </w:rPr>
        <w:t xml:space="preserve">, </w:t>
      </w:r>
      <w:r w:rsidRPr="00EF183C">
        <w:rPr>
          <w:rFonts w:ascii="Times New Roman" w:hAnsi="Times New Roman" w:cs="Times New Roman"/>
        </w:rPr>
        <w:t>which occurs quite rapidly in many rodent species</w:t>
      </w:r>
      <w:r w:rsidR="00B93DFE">
        <w:rPr>
          <w:rFonts w:ascii="Times New Roman" w:hAnsi="Times New Roman" w:cs="Times New Roman"/>
        </w:rPr>
        <w:t>.</w:t>
      </w:r>
      <w:r w:rsidRPr="00EF183C">
        <w:rPr>
          <w:rFonts w:ascii="Times New Roman" w:hAnsi="Times New Roman" w:cs="Times New Roman"/>
        </w:rPr>
        <w:t xml:space="preserve"> </w:t>
      </w:r>
    </w:p>
    <w:p w14:paraId="14628D0F" w14:textId="77777777" w:rsidR="00E8424D" w:rsidRPr="00EF183C" w:rsidRDefault="00E8424D">
      <w:pPr>
        <w:pStyle w:val="Body"/>
        <w:jc w:val="both"/>
        <w:rPr>
          <w:rFonts w:ascii="Times New Roman" w:hAnsi="Times New Roman" w:cs="Times New Roman"/>
        </w:rPr>
      </w:pPr>
    </w:p>
    <w:p w14:paraId="23CA2422" w14:textId="78B45F26" w:rsidR="00E8424D" w:rsidRPr="00EF183C" w:rsidRDefault="75F2FDA3">
      <w:pPr>
        <w:pStyle w:val="Body"/>
        <w:jc w:val="both"/>
        <w:rPr>
          <w:rFonts w:ascii="Times New Roman" w:hAnsi="Times New Roman" w:cs="Times New Roman"/>
        </w:rPr>
      </w:pPr>
      <w:r w:rsidRPr="00EF183C">
        <w:rPr>
          <w:rFonts w:ascii="Times New Roman" w:hAnsi="Times New Roman" w:cs="Times New Roman"/>
        </w:rPr>
        <w:t xml:space="preserve">A host of criteria, generally behavior- or physiology-based, can and have been employed. Usually, a select single or limited combination of the following may be helpful. Again, pilot studies may be required or useful to identify and develop the most valuable experimental endpoints: </w:t>
      </w:r>
    </w:p>
    <w:p w14:paraId="1CD90239" w14:textId="77777777" w:rsidR="00E8424D" w:rsidRPr="00EF183C" w:rsidRDefault="001D7EB3">
      <w:pPr>
        <w:pStyle w:val="Body"/>
        <w:numPr>
          <w:ilvl w:val="0"/>
          <w:numId w:val="2"/>
        </w:numPr>
        <w:jc w:val="both"/>
        <w:rPr>
          <w:rFonts w:ascii="Times New Roman" w:hAnsi="Times New Roman" w:cs="Times New Roman"/>
        </w:rPr>
      </w:pPr>
      <w:r w:rsidRPr="00EF183C">
        <w:rPr>
          <w:rFonts w:ascii="Times New Roman" w:hAnsi="Times New Roman" w:cs="Times New Roman"/>
          <w:b/>
          <w:bCs/>
        </w:rPr>
        <w:t>Physical appearance and clinical signs</w:t>
      </w:r>
      <w:r w:rsidRPr="00EF183C">
        <w:rPr>
          <w:rFonts w:ascii="Times New Roman" w:hAnsi="Times New Roman" w:cs="Times New Roman"/>
        </w:rPr>
        <w:t xml:space="preserve"> are standard ill-health indicators: Includes hunched posture, dehydration, unwillingness to move, rough haircoat or ‘spikey’ fur, sunken eyes, and nasal or ocular discharge.</w:t>
      </w:r>
    </w:p>
    <w:p w14:paraId="4C36FE54" w14:textId="4EF96572" w:rsidR="00E8424D" w:rsidRPr="00EF183C" w:rsidRDefault="45045C5C">
      <w:pPr>
        <w:pStyle w:val="Body"/>
        <w:numPr>
          <w:ilvl w:val="0"/>
          <w:numId w:val="2"/>
        </w:numPr>
        <w:jc w:val="both"/>
        <w:rPr>
          <w:rFonts w:ascii="Times New Roman" w:hAnsi="Times New Roman" w:cs="Times New Roman"/>
        </w:rPr>
      </w:pPr>
      <w:r w:rsidRPr="00EF183C">
        <w:rPr>
          <w:rFonts w:ascii="Times New Roman" w:hAnsi="Times New Roman" w:cs="Times New Roman"/>
          <w:b/>
          <w:bCs/>
        </w:rPr>
        <w:t>Body condition/body condition scoring</w:t>
      </w:r>
      <w:r w:rsidRPr="00EF183C">
        <w:rPr>
          <w:rFonts w:ascii="Times New Roman" w:hAnsi="Times New Roman" w:cs="Times New Roman"/>
        </w:rPr>
        <w:t xml:space="preserve"> (BCS) is generally used when weight loss cannot be used or may give conflicting information; these research areas include tumor studies, ascites production, and gestational studies. Generally, over a protracted period, the body enters a catabolic wasting state from the loss of fat and lean body mass; therefore, BCS is generally a chronic indicator that may take weeks to develop and can be somewhat subjective. Table 1 below outlines a five-level, 1-5 scoring system where a lower number (e.g., BC 1) indicates animals are not thriving and in the poorest body condition, while higher numbers (up to BCS 5) indicate a better body condition. Unless otherwise approved by the IACUC, euthanize animal when they reach BCS 2. </w:t>
      </w:r>
    </w:p>
    <w:p w14:paraId="74C7AA23" w14:textId="2F4FAD17" w:rsidR="00E8424D" w:rsidRPr="00EF183C" w:rsidRDefault="75F2FDA3">
      <w:pPr>
        <w:pStyle w:val="Body"/>
        <w:numPr>
          <w:ilvl w:val="0"/>
          <w:numId w:val="2"/>
        </w:numPr>
        <w:jc w:val="both"/>
        <w:rPr>
          <w:rFonts w:ascii="Times New Roman" w:hAnsi="Times New Roman" w:cs="Times New Roman"/>
        </w:rPr>
      </w:pPr>
      <w:r w:rsidRPr="00EF183C">
        <w:rPr>
          <w:rFonts w:ascii="Times New Roman" w:hAnsi="Times New Roman" w:cs="Times New Roman"/>
          <w:b/>
          <w:bCs/>
        </w:rPr>
        <w:t>Physiology</w:t>
      </w:r>
      <w:r w:rsidRPr="00EF183C">
        <w:rPr>
          <w:rFonts w:ascii="Times New Roman" w:hAnsi="Times New Roman" w:cs="Times New Roman"/>
        </w:rPr>
        <w:t xml:space="preserve"> (e.g., body weight, body temperature, dehydration, oxygen saturation, biomarkers) Body weight and dehydration are closely linked in small rodent species (e.g., mice). Mice rapidly dehydrate and lose corresponding body weight, a condition compounded by renal failure a common condition in older mice (4-6 months). Additionally, mice have a short water cycle and must drink water daily. As mice lose body temperature, they will reach a point of no return where they can no longer maintain a normal body temperature, hypothermia develops, is irreversible, and once it falls below a critical point indicates an animal’s death several hours to days in advance. Hypothermia has significant animal welfare and research advantages over body condition scores.</w:t>
      </w:r>
    </w:p>
    <w:p w14:paraId="2AD707D0" w14:textId="77777777" w:rsidR="00E8424D" w:rsidRPr="00EF183C" w:rsidRDefault="64A02B48">
      <w:pPr>
        <w:pStyle w:val="Body"/>
        <w:numPr>
          <w:ilvl w:val="0"/>
          <w:numId w:val="2"/>
        </w:numPr>
        <w:jc w:val="both"/>
        <w:rPr>
          <w:rFonts w:ascii="Times New Roman" w:hAnsi="Times New Roman" w:cs="Times New Roman"/>
        </w:rPr>
      </w:pPr>
      <w:r w:rsidRPr="00EF183C">
        <w:rPr>
          <w:rFonts w:ascii="Times New Roman" w:hAnsi="Times New Roman" w:cs="Times New Roman"/>
          <w:b/>
          <w:bCs/>
        </w:rPr>
        <w:t>Paradigm-specific conditions</w:t>
      </w:r>
      <w:r w:rsidRPr="00EF183C">
        <w:rPr>
          <w:rFonts w:ascii="Times New Roman" w:hAnsi="Times New Roman" w:cs="Times New Roman"/>
        </w:rPr>
        <w:t xml:space="preserve"> (e.g., cancer; aging, Trammell et al., 2012)</w:t>
      </w:r>
    </w:p>
    <w:p w14:paraId="16537D39" w14:textId="77777777" w:rsidR="00E8424D" w:rsidRPr="00EF183C" w:rsidRDefault="001D7EB3">
      <w:pPr>
        <w:pStyle w:val="Body"/>
        <w:numPr>
          <w:ilvl w:val="0"/>
          <w:numId w:val="2"/>
        </w:numPr>
        <w:jc w:val="both"/>
        <w:rPr>
          <w:rFonts w:ascii="Times New Roman" w:hAnsi="Times New Roman" w:cs="Times New Roman"/>
          <w:b/>
          <w:bCs/>
        </w:rPr>
      </w:pPr>
      <w:r w:rsidRPr="00EF183C">
        <w:rPr>
          <w:rFonts w:ascii="Times New Roman" w:hAnsi="Times New Roman" w:cs="Times New Roman"/>
          <w:b/>
          <w:bCs/>
        </w:rPr>
        <w:t>Unexpected research outcomes</w:t>
      </w:r>
      <w:r w:rsidRPr="00EF183C">
        <w:rPr>
          <w:rFonts w:ascii="Times New Roman" w:hAnsi="Times New Roman" w:cs="Times New Roman"/>
        </w:rPr>
        <w:t xml:space="preserve"> should be assessed as an endpoint/waypoint and used to reassess project elements or the whole project as this occurrence may indicated novel research altering elements have been introduced (e.g., human error).</w:t>
      </w:r>
    </w:p>
    <w:p w14:paraId="1BF7B233" w14:textId="77777777" w:rsidR="00E8424D" w:rsidRPr="00EF183C" w:rsidRDefault="001D7EB3">
      <w:pPr>
        <w:pStyle w:val="Body"/>
        <w:numPr>
          <w:ilvl w:val="0"/>
          <w:numId w:val="2"/>
        </w:numPr>
        <w:jc w:val="both"/>
        <w:rPr>
          <w:rFonts w:ascii="Times New Roman" w:hAnsi="Times New Roman" w:cs="Times New Roman"/>
        </w:rPr>
      </w:pPr>
      <w:r w:rsidRPr="00EF183C">
        <w:rPr>
          <w:rFonts w:ascii="Times New Roman" w:hAnsi="Times New Roman" w:cs="Times New Roman"/>
          <w:b/>
          <w:bCs/>
        </w:rPr>
        <w:t>Animal model-specific conditions</w:t>
      </w:r>
      <w:r w:rsidRPr="00EF183C">
        <w:rPr>
          <w:rFonts w:ascii="Times New Roman" w:hAnsi="Times New Roman" w:cs="Times New Roman"/>
        </w:rPr>
        <w:t xml:space="preserve"> (e.g., mouse ulcerative dermatitis, background strain conditions) occur as part of an aging study or study involving a given mouse strain. </w:t>
      </w:r>
    </w:p>
    <w:p w14:paraId="087C14BD" w14:textId="77777777" w:rsidR="00E8424D" w:rsidRPr="00EF183C" w:rsidRDefault="00E8424D">
      <w:pPr>
        <w:pStyle w:val="Body"/>
        <w:rPr>
          <w:rFonts w:ascii="Times New Roman" w:hAnsi="Times New Roman" w:cs="Times New Roman"/>
        </w:rPr>
      </w:pPr>
    </w:p>
    <w:p w14:paraId="1B3451B5" w14:textId="77777777" w:rsidR="00E8424D" w:rsidRPr="00EF183C" w:rsidRDefault="001D7EB3">
      <w:pPr>
        <w:pStyle w:val="Body"/>
        <w:jc w:val="center"/>
        <w:rPr>
          <w:rFonts w:ascii="Times New Roman" w:hAnsi="Times New Roman" w:cs="Times New Roman"/>
          <w:b/>
          <w:bCs/>
        </w:rPr>
      </w:pPr>
      <w:r w:rsidRPr="00EF183C">
        <w:rPr>
          <w:rFonts w:ascii="Times New Roman" w:hAnsi="Times New Roman" w:cs="Times New Roman"/>
          <w:b/>
          <w:bCs/>
          <w:lang w:val="fr-FR"/>
        </w:rPr>
        <w:t xml:space="preserve">Table </w:t>
      </w:r>
      <w:r w:rsidRPr="00EF183C">
        <w:rPr>
          <w:rFonts w:ascii="Times New Roman" w:hAnsi="Times New Roman" w:cs="Times New Roman"/>
          <w:b/>
          <w:bCs/>
        </w:rPr>
        <w:t>1. Body Condition Score (BCS) Drawings and Descriptions</w:t>
      </w:r>
    </w:p>
    <w:p w14:paraId="412F4553" w14:textId="77777777" w:rsidR="00E8424D" w:rsidRPr="00EF183C" w:rsidRDefault="001D7EB3">
      <w:pPr>
        <w:pStyle w:val="Body"/>
        <w:jc w:val="center"/>
        <w:rPr>
          <w:rFonts w:ascii="Times New Roman" w:hAnsi="Times New Roman" w:cs="Times New Roman"/>
        </w:rPr>
      </w:pPr>
      <w:r w:rsidRPr="00EF183C">
        <w:rPr>
          <w:rFonts w:ascii="Times New Roman" w:hAnsi="Times New Roman" w:cs="Times New Roman"/>
          <w:noProof/>
        </w:rPr>
        <mc:AlternateContent>
          <mc:Choice Requires="wpg">
            <w:drawing>
              <wp:inline distT="0" distB="0" distL="0" distR="0" wp14:anchorId="1F5AE31D" wp14:editId="7CC795BD">
                <wp:extent cx="2555807" cy="3695436"/>
                <wp:effectExtent l="0" t="0" r="0" b="0"/>
                <wp:docPr id="1073741827" name="officeArt object" descr="Image"/>
                <wp:cNvGraphicFramePr/>
                <a:graphic xmlns:a="http://schemas.openxmlformats.org/drawingml/2006/main">
                  <a:graphicData uri="http://schemas.microsoft.com/office/word/2010/wordprocessingGroup">
                    <wpg:wgp>
                      <wpg:cNvGrpSpPr/>
                      <wpg:grpSpPr>
                        <a:xfrm>
                          <a:off x="0" y="0"/>
                          <a:ext cx="2555807" cy="3695436"/>
                          <a:chOff x="0" y="0"/>
                          <a:chExt cx="2555806" cy="3695435"/>
                        </a:xfrm>
                      </wpg:grpSpPr>
                      <pic:pic xmlns:pic="http://schemas.openxmlformats.org/drawingml/2006/picture">
                        <pic:nvPicPr>
                          <pic:cNvPr id="1073741826" name="Image" descr="Image"/>
                          <pic:cNvPicPr>
                            <a:picLocks noChangeAspect="1"/>
                          </pic:cNvPicPr>
                        </pic:nvPicPr>
                        <pic:blipFill>
                          <a:blip r:embed="rId8"/>
                          <a:stretch>
                            <a:fillRect/>
                          </a:stretch>
                        </pic:blipFill>
                        <pic:spPr>
                          <a:xfrm>
                            <a:off x="126999" y="88900"/>
                            <a:ext cx="2301808" cy="3365236"/>
                          </a:xfrm>
                          <a:prstGeom prst="rect">
                            <a:avLst/>
                          </a:prstGeom>
                          <a:ln>
                            <a:noFill/>
                          </a:ln>
                          <a:effectLst/>
                        </pic:spPr>
                      </pic:pic>
                      <pic:pic xmlns:pic="http://schemas.openxmlformats.org/drawingml/2006/picture">
                        <pic:nvPicPr>
                          <pic:cNvPr id="1073741825" name="Image" descr="Image"/>
                          <pic:cNvPicPr>
                            <a:picLocks/>
                          </pic:cNvPicPr>
                        </pic:nvPicPr>
                        <pic:blipFill>
                          <a:blip r:embed="rId9"/>
                          <a:stretch>
                            <a:fillRect/>
                          </a:stretch>
                        </pic:blipFill>
                        <pic:spPr>
                          <a:xfrm>
                            <a:off x="-1" y="0"/>
                            <a:ext cx="2555808" cy="3695436"/>
                          </a:xfrm>
                          <a:prstGeom prst="rect">
                            <a:avLst/>
                          </a:prstGeom>
                          <a:effectLst/>
                        </pic:spPr>
                      </pic:pic>
                    </wpg:wgp>
                  </a:graphicData>
                </a:graphic>
              </wp:inline>
            </w:drawing>
          </mc:Choice>
          <mc:Fallback xmlns:c="http://schemas.openxmlformats.org/drawingml/2006/chart" xmlns:pic="http://schemas.openxmlformats.org/drawingml/2006/picture" xmlns:a="http://schemas.openxmlformats.org/drawingml/2006/main" xmlns:w16du="http://schemas.microsoft.com/office/word/2023/wordml/word16du">
            <w:pict w14:anchorId="061F2E55">
              <v:group id="_x0000_s1026" style="visibility:visible;width:201.2pt;height:291.0pt;" coordsize="2555807,3695435" coordorigin="0,0">
                <v:shape id="_x0000_s1027" style="position:absolute;left:127000;top:88900;width:2301807;height:3365235;" type="#_x0000_t75">
                  <v:imagedata o:title="pasted-image.png" r:id="rId13"/>
                </v:shape>
                <v:shape id="_x0000_s1028" style="position:absolute;left:0;top:0;width:2555807;height:3695435;" type="#_x0000_t75">
                  <v:imagedata o:title="" r:id="rId14"/>
                </v:shape>
              </v:group>
            </w:pict>
          </mc:Fallback>
        </mc:AlternateContent>
      </w:r>
    </w:p>
    <w:p w14:paraId="4D836050" w14:textId="79079A3E" w:rsidR="00E8424D" w:rsidRPr="00EF183C" w:rsidRDefault="75F2FDA3">
      <w:pPr>
        <w:pStyle w:val="Body"/>
        <w:jc w:val="both"/>
        <w:rPr>
          <w:rFonts w:ascii="Times New Roman" w:hAnsi="Times New Roman" w:cs="Times New Roman"/>
        </w:rPr>
      </w:pPr>
      <w:r w:rsidRPr="00EF183C">
        <w:rPr>
          <w:rFonts w:ascii="Times New Roman" w:hAnsi="Times New Roman" w:cs="Times New Roman"/>
        </w:rPr>
        <w:t>In either acute or chronic studies, researchers must understand the model as well as possible and intensify animal observations around critical timepoints. Animal observations are a critical component of the scientific process requiring documentation</w:t>
      </w:r>
      <w:r w:rsidR="00B93DFE">
        <w:rPr>
          <w:rFonts w:ascii="Times New Roman" w:hAnsi="Times New Roman" w:cs="Times New Roman"/>
        </w:rPr>
        <w:t xml:space="preserve"> </w:t>
      </w:r>
      <w:r w:rsidRPr="00EF183C">
        <w:rPr>
          <w:rFonts w:ascii="Times New Roman" w:hAnsi="Times New Roman" w:cs="Times New Roman"/>
        </w:rPr>
        <w:t xml:space="preserve">provided by the research </w:t>
      </w:r>
      <w:proofErr w:type="gramStart"/>
      <w:r w:rsidRPr="00EF183C">
        <w:rPr>
          <w:rFonts w:ascii="Times New Roman" w:hAnsi="Times New Roman" w:cs="Times New Roman"/>
        </w:rPr>
        <w:t>staff, but</w:t>
      </w:r>
      <w:proofErr w:type="gramEnd"/>
      <w:r w:rsidRPr="00EF183C">
        <w:rPr>
          <w:rFonts w:ascii="Times New Roman" w:hAnsi="Times New Roman" w:cs="Times New Roman"/>
        </w:rPr>
        <w:t xml:space="preserve"> may include the husbandry and veterinary staff contributing observations, assessments, and palliative care (e.g., fluid administration, placing wetted food on the cage floor). Additional animal observation may be required both during and outside regular business hours, including weekends and holidays. Whenever possible, the research timeline should be cognizant of when these critical experimental periods occur and avoid, to the best of their ability, holidays and weekends; likewise, surgical procedures should be avoided on Fridays and prior to holidays. If weekends, holidays, and after-hours assessments will occur, appropriate supplies must be available for treatment, euthanasia, tissue collection, etc. While it is understood that there may be requirements to conduct experiments during these inconvenient times, the research staff must communicate these intentions in advance so the research, husbandry and veterinary staff can coordinate activities to maximize the likelihood of positive research outcomes, including adequate patient care and essential data collection. Data collection would include prompt animal euthanasia, as well as proper communication of carcass identification, handling, and especially storage (e.g., refrigeration vs. freezing) when performed by animal care/veterinary staff.</w:t>
      </w:r>
    </w:p>
    <w:p w14:paraId="4412AAC3" w14:textId="77777777" w:rsidR="00E8424D" w:rsidRDefault="00E8424D">
      <w:pPr>
        <w:pStyle w:val="Body"/>
        <w:rPr>
          <w:rFonts w:ascii="Times New Roman" w:hAnsi="Times New Roman" w:cs="Times New Roman"/>
        </w:rPr>
      </w:pPr>
    </w:p>
    <w:p w14:paraId="50B66E46" w14:textId="77777777" w:rsidR="00775681" w:rsidRPr="00B566A9" w:rsidRDefault="00775681" w:rsidP="00775681">
      <w:pPr>
        <w:pStyle w:val="Body"/>
        <w:rPr>
          <w:rFonts w:ascii="Times New Roman" w:hAnsi="Times New Roman" w:cs="Times New Roman"/>
        </w:rPr>
      </w:pPr>
      <w:r>
        <w:rPr>
          <w:rFonts w:ascii="Times New Roman" w:hAnsi="Times New Roman" w:cs="Times New Roman"/>
        </w:rPr>
        <w:t xml:space="preserve">Surrogate endpoints are biomarkers that are intended to substitute for a clinical endpoint. </w:t>
      </w:r>
      <w:r w:rsidRPr="00B566A9">
        <w:rPr>
          <w:rFonts w:ascii="Times New Roman" w:hAnsi="Times New Roman" w:cs="Times New Roman"/>
        </w:rPr>
        <w:t>Perhaps most importantly, surrogate endpoints provide for the timely, antemortem sample collection that prevents data lost to autolysis, contamination, or cage mate cannibalism.</w:t>
      </w:r>
    </w:p>
    <w:p w14:paraId="0845864F" w14:textId="77777777" w:rsidR="00775681" w:rsidRPr="00EF183C" w:rsidRDefault="00775681">
      <w:pPr>
        <w:pStyle w:val="Body"/>
        <w:rPr>
          <w:rFonts w:ascii="Times New Roman" w:hAnsi="Times New Roman" w:cs="Times New Roman"/>
        </w:rPr>
      </w:pPr>
    </w:p>
    <w:p w14:paraId="1B2DE28B" w14:textId="04648323" w:rsidR="00E8424D" w:rsidRPr="00EF183C" w:rsidRDefault="001D7EB3">
      <w:pPr>
        <w:pStyle w:val="Body"/>
        <w:rPr>
          <w:rFonts w:ascii="Times New Roman" w:hAnsi="Times New Roman" w:cs="Times New Roman"/>
        </w:rPr>
      </w:pPr>
      <w:r w:rsidRPr="00EF183C">
        <w:rPr>
          <w:rFonts w:ascii="Times New Roman" w:hAnsi="Times New Roman" w:cs="Times New Roman"/>
        </w:rPr>
        <w:t xml:space="preserve">Researchers may find the following criteria </w:t>
      </w:r>
      <w:r w:rsidR="00EB6769">
        <w:rPr>
          <w:rFonts w:ascii="Times New Roman" w:hAnsi="Times New Roman" w:cs="Times New Roman"/>
        </w:rPr>
        <w:t xml:space="preserve">can be used as surrogate endpoints in </w:t>
      </w:r>
      <w:r w:rsidRPr="00EF183C">
        <w:rPr>
          <w:rFonts w:ascii="Times New Roman" w:hAnsi="Times New Roman" w:cs="Times New Roman"/>
        </w:rPr>
        <w:t xml:space="preserve">acute studies: </w:t>
      </w:r>
    </w:p>
    <w:p w14:paraId="4A58B0F5" w14:textId="77777777" w:rsidR="00E8424D" w:rsidRPr="00EF183C" w:rsidRDefault="001D7EB3">
      <w:pPr>
        <w:pStyle w:val="Body"/>
        <w:numPr>
          <w:ilvl w:val="0"/>
          <w:numId w:val="3"/>
        </w:numPr>
        <w:rPr>
          <w:rFonts w:ascii="Times New Roman" w:hAnsi="Times New Roman" w:cs="Times New Roman"/>
        </w:rPr>
      </w:pPr>
      <w:r w:rsidRPr="00EF183C">
        <w:rPr>
          <w:rFonts w:ascii="Times New Roman" w:hAnsi="Times New Roman" w:cs="Times New Roman"/>
        </w:rPr>
        <w:t>General appearance</w:t>
      </w:r>
    </w:p>
    <w:p w14:paraId="47898543" w14:textId="77777777" w:rsidR="00E8424D" w:rsidRPr="00EF183C" w:rsidRDefault="001D7EB3">
      <w:pPr>
        <w:pStyle w:val="Body"/>
        <w:numPr>
          <w:ilvl w:val="0"/>
          <w:numId w:val="3"/>
        </w:numPr>
        <w:rPr>
          <w:rFonts w:ascii="Times New Roman" w:hAnsi="Times New Roman" w:cs="Times New Roman"/>
        </w:rPr>
      </w:pPr>
      <w:r w:rsidRPr="00EF183C">
        <w:rPr>
          <w:rFonts w:ascii="Times New Roman" w:hAnsi="Times New Roman" w:cs="Times New Roman"/>
        </w:rPr>
        <w:t>Body weight</w:t>
      </w:r>
    </w:p>
    <w:p w14:paraId="01CA4884" w14:textId="77777777" w:rsidR="00E8424D" w:rsidRPr="00EF183C" w:rsidRDefault="001D7EB3">
      <w:pPr>
        <w:pStyle w:val="Body"/>
        <w:numPr>
          <w:ilvl w:val="0"/>
          <w:numId w:val="3"/>
        </w:numPr>
        <w:rPr>
          <w:rFonts w:ascii="Times New Roman" w:hAnsi="Times New Roman" w:cs="Times New Roman"/>
        </w:rPr>
      </w:pPr>
      <w:r w:rsidRPr="00EF183C">
        <w:rPr>
          <w:rFonts w:ascii="Times New Roman" w:hAnsi="Times New Roman" w:cs="Times New Roman"/>
        </w:rPr>
        <w:t xml:space="preserve">Poor ability to </w:t>
      </w:r>
      <w:proofErr w:type="gramStart"/>
      <w:r w:rsidRPr="00EF183C">
        <w:rPr>
          <w:rFonts w:ascii="Times New Roman" w:hAnsi="Times New Roman" w:cs="Times New Roman"/>
        </w:rPr>
        <w:t>ambulate</w:t>
      </w:r>
      <w:proofErr w:type="gramEnd"/>
      <w:r w:rsidRPr="00EF183C">
        <w:rPr>
          <w:rFonts w:ascii="Times New Roman" w:hAnsi="Times New Roman" w:cs="Times New Roman"/>
        </w:rPr>
        <w:t xml:space="preserve"> </w:t>
      </w:r>
    </w:p>
    <w:p w14:paraId="484C9604" w14:textId="35FE0DF8" w:rsidR="00E8424D" w:rsidRPr="00EF183C" w:rsidRDefault="001D7EB3">
      <w:pPr>
        <w:pStyle w:val="Body"/>
        <w:numPr>
          <w:ilvl w:val="0"/>
          <w:numId w:val="3"/>
        </w:numPr>
        <w:rPr>
          <w:rFonts w:ascii="Times New Roman" w:hAnsi="Times New Roman" w:cs="Times New Roman"/>
        </w:rPr>
      </w:pPr>
      <w:r w:rsidRPr="00EF183C">
        <w:rPr>
          <w:rFonts w:ascii="Times New Roman" w:hAnsi="Times New Roman" w:cs="Times New Roman"/>
        </w:rPr>
        <w:t>Body temperature/Hypothermia</w:t>
      </w:r>
      <w:r w:rsidR="00B32C5E">
        <w:rPr>
          <w:rFonts w:ascii="Times New Roman" w:hAnsi="Times New Roman" w:cs="Times New Roman"/>
        </w:rPr>
        <w:t>1.</w:t>
      </w:r>
    </w:p>
    <w:p w14:paraId="3D23FBC9" w14:textId="77777777" w:rsidR="00E8424D" w:rsidRPr="00EF183C" w:rsidRDefault="00E8424D">
      <w:pPr>
        <w:pStyle w:val="Body"/>
        <w:rPr>
          <w:rFonts w:ascii="Times New Roman" w:hAnsi="Times New Roman" w:cs="Times New Roman"/>
        </w:rPr>
      </w:pPr>
    </w:p>
    <w:p w14:paraId="287F20D1" w14:textId="77777777" w:rsidR="00E8424D" w:rsidRPr="00EF183C" w:rsidRDefault="001D7EB3">
      <w:pPr>
        <w:pStyle w:val="Body"/>
        <w:rPr>
          <w:rFonts w:ascii="Times New Roman" w:hAnsi="Times New Roman" w:cs="Times New Roman"/>
        </w:rPr>
      </w:pPr>
      <w:r w:rsidRPr="00EF183C">
        <w:rPr>
          <w:rFonts w:ascii="Times New Roman" w:hAnsi="Times New Roman" w:cs="Times New Roman"/>
        </w:rPr>
        <w:t xml:space="preserve">For chronic studies: </w:t>
      </w:r>
    </w:p>
    <w:p w14:paraId="301AC0C0" w14:textId="77777777" w:rsidR="00E8424D" w:rsidRPr="00EF183C" w:rsidRDefault="001D7EB3">
      <w:pPr>
        <w:pStyle w:val="Body"/>
        <w:numPr>
          <w:ilvl w:val="0"/>
          <w:numId w:val="3"/>
        </w:numPr>
        <w:rPr>
          <w:rFonts w:ascii="Times New Roman" w:hAnsi="Times New Roman" w:cs="Times New Roman"/>
        </w:rPr>
      </w:pPr>
      <w:r w:rsidRPr="00EF183C">
        <w:rPr>
          <w:rFonts w:ascii="Times New Roman" w:hAnsi="Times New Roman" w:cs="Times New Roman"/>
        </w:rPr>
        <w:t>Body weight</w:t>
      </w:r>
    </w:p>
    <w:p w14:paraId="0D6162E4" w14:textId="77777777" w:rsidR="00E8424D" w:rsidRPr="00EF183C" w:rsidRDefault="001D7EB3">
      <w:pPr>
        <w:pStyle w:val="Body"/>
        <w:numPr>
          <w:ilvl w:val="0"/>
          <w:numId w:val="3"/>
        </w:numPr>
        <w:rPr>
          <w:rFonts w:ascii="Times New Roman" w:hAnsi="Times New Roman" w:cs="Times New Roman"/>
        </w:rPr>
      </w:pPr>
      <w:r w:rsidRPr="00EF183C">
        <w:rPr>
          <w:rFonts w:ascii="Times New Roman" w:hAnsi="Times New Roman" w:cs="Times New Roman"/>
        </w:rPr>
        <w:t>Body temperature/Hypothermia</w:t>
      </w:r>
    </w:p>
    <w:p w14:paraId="6C1B6FD6" w14:textId="77777777" w:rsidR="00E8424D" w:rsidRPr="00EF183C" w:rsidRDefault="001D7EB3">
      <w:pPr>
        <w:pStyle w:val="Body"/>
        <w:numPr>
          <w:ilvl w:val="0"/>
          <w:numId w:val="3"/>
        </w:numPr>
        <w:rPr>
          <w:rFonts w:ascii="Times New Roman" w:hAnsi="Times New Roman" w:cs="Times New Roman"/>
        </w:rPr>
      </w:pPr>
      <w:r w:rsidRPr="00EF183C">
        <w:rPr>
          <w:rFonts w:ascii="Times New Roman" w:hAnsi="Times New Roman" w:cs="Times New Roman"/>
        </w:rPr>
        <w:t>Body condition scoring and body weight ± temperature</w:t>
      </w:r>
    </w:p>
    <w:p w14:paraId="24651AF3" w14:textId="77777777" w:rsidR="00775681" w:rsidRDefault="001D7EB3">
      <w:pPr>
        <w:pStyle w:val="Body"/>
        <w:numPr>
          <w:ilvl w:val="0"/>
          <w:numId w:val="3"/>
        </w:numPr>
        <w:rPr>
          <w:rFonts w:ascii="Times New Roman" w:hAnsi="Times New Roman" w:cs="Times New Roman"/>
        </w:rPr>
      </w:pPr>
      <w:r w:rsidRPr="00EF183C">
        <w:rPr>
          <w:rFonts w:ascii="Times New Roman" w:hAnsi="Times New Roman" w:cs="Times New Roman"/>
        </w:rPr>
        <w:t>Tumor size, ulceration, or interference with ambulation, feeding, etc.</w:t>
      </w:r>
    </w:p>
    <w:p w14:paraId="72332171" w14:textId="4D812770" w:rsidR="00E8424D" w:rsidRPr="00EF183C" w:rsidRDefault="001D7EB3" w:rsidP="00EF183C">
      <w:pPr>
        <w:pStyle w:val="Body"/>
        <w:ind w:left="196"/>
        <w:rPr>
          <w:rFonts w:ascii="Times New Roman" w:hAnsi="Times New Roman" w:cs="Times New Roman"/>
        </w:rPr>
      </w:pPr>
      <w:r w:rsidRPr="00EF183C">
        <w:rPr>
          <w:rFonts w:ascii="Times New Roman" w:hAnsi="Times New Roman" w:cs="Times New Roman"/>
        </w:rPr>
        <w:t xml:space="preserve"> </w:t>
      </w:r>
    </w:p>
    <w:p w14:paraId="2E96CEE2" w14:textId="77777777" w:rsidR="00E8424D" w:rsidRDefault="001D7EB3">
      <w:pPr>
        <w:pStyle w:val="Body"/>
        <w:jc w:val="both"/>
        <w:rPr>
          <w:rFonts w:ascii="Times New Roman" w:hAnsi="Times New Roman" w:cs="Times New Roman"/>
        </w:rPr>
      </w:pPr>
      <w:r w:rsidRPr="00EF183C">
        <w:rPr>
          <w:rFonts w:ascii="Times New Roman" w:hAnsi="Times New Roman" w:cs="Times New Roman"/>
        </w:rPr>
        <w:t xml:space="preserve">There are reports of combining surrogate endpoints. Currently, the product of body temperature and body weight appear to hold the most value (Adamson, 2013; Ray, 2010; Trammell, 2012). </w:t>
      </w:r>
    </w:p>
    <w:p w14:paraId="7515A6C0" w14:textId="77777777" w:rsidR="00002C4A" w:rsidRPr="00EF183C" w:rsidRDefault="00002C4A">
      <w:pPr>
        <w:pStyle w:val="Body"/>
        <w:jc w:val="both"/>
        <w:rPr>
          <w:rFonts w:ascii="Times New Roman" w:hAnsi="Times New Roman" w:cs="Times New Roman"/>
        </w:rPr>
      </w:pPr>
    </w:p>
    <w:p w14:paraId="4EB13B46" w14:textId="2965773B" w:rsidR="00E8424D" w:rsidRPr="00EF183C" w:rsidRDefault="00002C4A" w:rsidP="00EF183C">
      <w:pPr>
        <w:pStyle w:val="Body"/>
        <w:rPr>
          <w:rFonts w:ascii="Times New Roman" w:hAnsi="Times New Roman" w:cs="Times New Roman"/>
          <w:b/>
          <w:bCs/>
        </w:rPr>
      </w:pPr>
      <w:r>
        <w:rPr>
          <w:rFonts w:ascii="Times New Roman" w:hAnsi="Times New Roman" w:cs="Times New Roman"/>
          <w:b/>
          <w:bCs/>
        </w:rPr>
        <w:t>I</w:t>
      </w:r>
      <w:r w:rsidR="005C4EF7">
        <w:rPr>
          <w:rFonts w:ascii="Times New Roman" w:hAnsi="Times New Roman" w:cs="Times New Roman"/>
          <w:b/>
          <w:bCs/>
        </w:rPr>
        <w:t>V</w:t>
      </w:r>
      <w:r>
        <w:rPr>
          <w:rFonts w:ascii="Times New Roman" w:hAnsi="Times New Roman" w:cs="Times New Roman"/>
          <w:b/>
          <w:bCs/>
        </w:rPr>
        <w:t xml:space="preserve">. </w:t>
      </w:r>
      <w:r w:rsidR="001D7EB3" w:rsidRPr="00EF183C">
        <w:rPr>
          <w:rFonts w:ascii="Times New Roman" w:hAnsi="Times New Roman" w:cs="Times New Roman"/>
          <w:b/>
          <w:bCs/>
        </w:rPr>
        <w:t>Experimental and Humane Endpoint Examples</w:t>
      </w:r>
    </w:p>
    <w:p w14:paraId="003BDE53" w14:textId="76FF934C" w:rsidR="00E8424D" w:rsidRPr="00EF183C" w:rsidRDefault="75F2FDA3">
      <w:pPr>
        <w:pStyle w:val="Body"/>
        <w:jc w:val="both"/>
        <w:rPr>
          <w:rFonts w:ascii="Times New Roman" w:hAnsi="Times New Roman" w:cs="Times New Roman"/>
        </w:rPr>
      </w:pPr>
      <w:r w:rsidRPr="00EF183C">
        <w:rPr>
          <w:rFonts w:ascii="Times New Roman" w:hAnsi="Times New Roman" w:cs="Times New Roman"/>
          <w:b/>
          <w:bCs/>
        </w:rPr>
        <w:t>Body weight</w:t>
      </w:r>
      <w:r w:rsidRPr="00EF183C">
        <w:rPr>
          <w:rFonts w:ascii="Times New Roman" w:hAnsi="Times New Roman" w:cs="Times New Roman"/>
        </w:rPr>
        <w:t xml:space="preserve"> may be used as an endpoint alone or using a product of body weight and temperature being used. Generally, body weight loss of 10-20% is common. </w:t>
      </w:r>
    </w:p>
    <w:p w14:paraId="13CCCD3A" w14:textId="77777777" w:rsidR="00E8424D" w:rsidRPr="00EF183C" w:rsidRDefault="00E8424D">
      <w:pPr>
        <w:pStyle w:val="Body"/>
        <w:rPr>
          <w:rFonts w:ascii="Times New Roman" w:hAnsi="Times New Roman" w:cs="Times New Roman"/>
        </w:rPr>
      </w:pPr>
    </w:p>
    <w:p w14:paraId="32E9F0F4" w14:textId="349BEAA0" w:rsidR="00E8424D" w:rsidRPr="00EF183C" w:rsidRDefault="75F2FDA3">
      <w:pPr>
        <w:pStyle w:val="Body"/>
        <w:jc w:val="both"/>
        <w:rPr>
          <w:rFonts w:ascii="Times New Roman" w:hAnsi="Times New Roman" w:cs="Times New Roman"/>
        </w:rPr>
      </w:pPr>
      <w:r w:rsidRPr="00EF183C">
        <w:rPr>
          <w:rFonts w:ascii="Times New Roman" w:hAnsi="Times New Roman" w:cs="Times New Roman"/>
        </w:rPr>
        <w:t xml:space="preserve">Once animals meet or exceed a 10% body weight loss the research group is expected to discuss the weight loss with the veterinary staff towards mitigating further weight loss. The animal may be experiencing research-related or other issues that may be causing or compounding the experimental weight loss. Depending on the model, various treatments could be implemented permitting the animal’s weight and condition to rebound. A weight loss of 20% vs. age-matched controls generally necessitates euthanasia. </w:t>
      </w:r>
    </w:p>
    <w:p w14:paraId="53CDA267" w14:textId="77777777" w:rsidR="00E8424D" w:rsidRPr="00EF183C" w:rsidRDefault="00E8424D">
      <w:pPr>
        <w:pStyle w:val="Body"/>
        <w:rPr>
          <w:rFonts w:ascii="Times New Roman" w:hAnsi="Times New Roman" w:cs="Times New Roman"/>
        </w:rPr>
      </w:pPr>
    </w:p>
    <w:p w14:paraId="12DC2CB3" w14:textId="77777777" w:rsidR="00E8424D" w:rsidRPr="00EF183C" w:rsidRDefault="001D7EB3">
      <w:pPr>
        <w:pStyle w:val="Body"/>
        <w:jc w:val="both"/>
        <w:rPr>
          <w:rFonts w:ascii="Times New Roman" w:hAnsi="Times New Roman" w:cs="Times New Roman"/>
        </w:rPr>
      </w:pPr>
      <w:r w:rsidRPr="00EF183C">
        <w:rPr>
          <w:rFonts w:ascii="Times New Roman" w:hAnsi="Times New Roman" w:cs="Times New Roman"/>
        </w:rPr>
        <w:t xml:space="preserve">There are models, such as sepsis models, where </w:t>
      </w:r>
      <w:r w:rsidRPr="00EF183C">
        <w:rPr>
          <w:rFonts w:ascii="Times New Roman" w:hAnsi="Times New Roman" w:cs="Times New Roman"/>
          <w:i/>
          <w:iCs/>
        </w:rPr>
        <w:t>weight gain</w:t>
      </w:r>
      <w:r w:rsidRPr="00EF183C">
        <w:rPr>
          <w:rFonts w:ascii="Times New Roman" w:hAnsi="Times New Roman" w:cs="Times New Roman"/>
        </w:rPr>
        <w:t xml:space="preserve"> was reported as a superior mortality indicator </w:t>
      </w:r>
      <w:proofErr w:type="gramStart"/>
      <w:r w:rsidRPr="00EF183C">
        <w:rPr>
          <w:rFonts w:ascii="Times New Roman" w:hAnsi="Times New Roman" w:cs="Times New Roman"/>
        </w:rPr>
        <w:t>over weight</w:t>
      </w:r>
      <w:proofErr w:type="gramEnd"/>
      <w:r w:rsidRPr="00EF183C">
        <w:rPr>
          <w:rFonts w:ascii="Times New Roman" w:hAnsi="Times New Roman" w:cs="Times New Roman"/>
        </w:rPr>
        <w:t xml:space="preserve"> loss (</w:t>
      </w:r>
      <w:proofErr w:type="spellStart"/>
      <w:r w:rsidRPr="00EF183C">
        <w:rPr>
          <w:rFonts w:ascii="Times New Roman" w:hAnsi="Times New Roman" w:cs="Times New Roman"/>
        </w:rPr>
        <w:t>Nemzek</w:t>
      </w:r>
      <w:proofErr w:type="spellEnd"/>
      <w:r w:rsidRPr="00EF183C">
        <w:rPr>
          <w:rFonts w:ascii="Times New Roman" w:hAnsi="Times New Roman" w:cs="Times New Roman"/>
        </w:rPr>
        <w:t xml:space="preserve"> et al., 2004).</w:t>
      </w:r>
    </w:p>
    <w:p w14:paraId="23AB9C5B" w14:textId="77777777" w:rsidR="00E8424D" w:rsidRPr="00EF183C" w:rsidRDefault="00E8424D">
      <w:pPr>
        <w:pStyle w:val="Body"/>
        <w:rPr>
          <w:rFonts w:ascii="Times New Roman" w:hAnsi="Times New Roman" w:cs="Times New Roman"/>
        </w:rPr>
      </w:pPr>
    </w:p>
    <w:p w14:paraId="099A13EC" w14:textId="77777777" w:rsidR="00E8424D" w:rsidRPr="00EF183C" w:rsidRDefault="75F2FDA3">
      <w:pPr>
        <w:pStyle w:val="Body"/>
        <w:rPr>
          <w:rFonts w:ascii="Times New Roman" w:hAnsi="Times New Roman" w:cs="Times New Roman"/>
        </w:rPr>
      </w:pPr>
      <w:r w:rsidRPr="00EF183C">
        <w:rPr>
          <w:rFonts w:ascii="Times New Roman" w:hAnsi="Times New Roman" w:cs="Times New Roman"/>
        </w:rPr>
        <w:t xml:space="preserve">When using body weight, benchmark weight loss against the animal’s original weight and age-matched controls (or vendor mouse line/background line information), with the latter being vital in studies lasting a week or more, or in young, </w:t>
      </w:r>
      <w:proofErr w:type="spellStart"/>
      <w:r w:rsidRPr="00EF183C">
        <w:rPr>
          <w:rFonts w:ascii="Times New Roman" w:hAnsi="Times New Roman" w:cs="Times New Roman"/>
        </w:rPr>
        <w:t>postweanling</w:t>
      </w:r>
      <w:proofErr w:type="spellEnd"/>
      <w:r w:rsidRPr="00EF183C">
        <w:rPr>
          <w:rFonts w:ascii="Times New Roman" w:hAnsi="Times New Roman" w:cs="Times New Roman"/>
        </w:rPr>
        <w:t xml:space="preserve"> animals. This information is summarized for C57BL/6J mice in Appendix A. Meeting or exceeding the IACUC-approved endpoint warrants euthanasia. </w:t>
      </w:r>
    </w:p>
    <w:p w14:paraId="76FAF56F" w14:textId="77777777" w:rsidR="00E8424D" w:rsidRPr="00EF183C" w:rsidRDefault="00E8424D">
      <w:pPr>
        <w:pStyle w:val="Body"/>
        <w:rPr>
          <w:rFonts w:ascii="Times New Roman" w:hAnsi="Times New Roman" w:cs="Times New Roman"/>
        </w:rPr>
      </w:pPr>
    </w:p>
    <w:p w14:paraId="14A6A614" w14:textId="77777777" w:rsidR="00E8424D" w:rsidRPr="00EF183C" w:rsidRDefault="001D7EB3">
      <w:pPr>
        <w:pStyle w:val="Body"/>
        <w:rPr>
          <w:rFonts w:ascii="Times New Roman" w:hAnsi="Times New Roman" w:cs="Times New Roman"/>
        </w:rPr>
      </w:pPr>
      <w:r w:rsidRPr="00EF183C">
        <w:rPr>
          <w:rFonts w:ascii="Times New Roman" w:hAnsi="Times New Roman" w:cs="Times New Roman"/>
        </w:rPr>
        <w:t xml:space="preserve">Increased </w:t>
      </w:r>
      <w:r w:rsidRPr="00EF183C">
        <w:rPr>
          <w:rFonts w:ascii="Times New Roman" w:hAnsi="Times New Roman" w:cs="Times New Roman"/>
          <w:b/>
          <w:bCs/>
        </w:rPr>
        <w:t>water consumption</w:t>
      </w:r>
      <w:r w:rsidRPr="00EF183C">
        <w:rPr>
          <w:rFonts w:ascii="Times New Roman" w:hAnsi="Times New Roman" w:cs="Times New Roman"/>
        </w:rPr>
        <w:t xml:space="preserve"> was a key marker for Huntington’s Disease suggesting vasopressin dysregulation related to hypothalamic vasopressin release, which contributed to weight loss by impacting food taste, mastication, and swallowing.</w:t>
      </w:r>
    </w:p>
    <w:p w14:paraId="583DFF64" w14:textId="77777777" w:rsidR="00E8424D" w:rsidRPr="00EF183C" w:rsidRDefault="00E8424D">
      <w:pPr>
        <w:pStyle w:val="Body"/>
        <w:rPr>
          <w:rFonts w:ascii="Times New Roman" w:hAnsi="Times New Roman" w:cs="Times New Roman"/>
        </w:rPr>
      </w:pPr>
    </w:p>
    <w:p w14:paraId="5D7B8D06" w14:textId="77777777" w:rsidR="00E8424D" w:rsidRPr="00EF183C" w:rsidRDefault="001D7EB3">
      <w:pPr>
        <w:pStyle w:val="Body"/>
        <w:rPr>
          <w:rFonts w:ascii="Times New Roman" w:hAnsi="Times New Roman" w:cs="Times New Roman"/>
        </w:rPr>
      </w:pPr>
      <w:r w:rsidRPr="00EF183C">
        <w:rPr>
          <w:rFonts w:ascii="Times New Roman" w:hAnsi="Times New Roman" w:cs="Times New Roman"/>
          <w:b/>
          <w:bCs/>
        </w:rPr>
        <w:lastRenderedPageBreak/>
        <w:t>Hypothermia</w:t>
      </w:r>
      <w:r w:rsidRPr="00EF183C">
        <w:rPr>
          <w:rFonts w:ascii="Times New Roman" w:hAnsi="Times New Roman" w:cs="Times New Roman"/>
        </w:rPr>
        <w:t xml:space="preserve"> offers an objective marker indicating progression from various insults (e.g., sepsis, infectious disease), the progression of those insults, and animal death. Hypothermia has been used successfully as a surrogate endpoint or heightened monitoring trigger in a variety of experimental models, including aging; infectious agents (bacteria, fungi, viruses); LPS/sepsis; and tumor progression. </w:t>
      </w:r>
      <w:r w:rsidRPr="00EF183C">
        <w:rPr>
          <w:rFonts w:ascii="Times New Roman" w:hAnsi="Times New Roman" w:cs="Times New Roman"/>
          <w:lang w:val="fr-FR"/>
        </w:rPr>
        <w:t>Table</w:t>
      </w:r>
      <w:r w:rsidRPr="00EF183C">
        <w:rPr>
          <w:rFonts w:ascii="Times New Roman" w:hAnsi="Times New Roman" w:cs="Times New Roman"/>
        </w:rPr>
        <w:t xml:space="preserve"> 2, below, outlines the temperature devices, endpoints and types of studies using hypothermia as an endpoint.</w:t>
      </w:r>
    </w:p>
    <w:p w14:paraId="67DDF605" w14:textId="77777777" w:rsidR="00E8424D" w:rsidRPr="00EF183C" w:rsidRDefault="00E8424D">
      <w:pPr>
        <w:pStyle w:val="Body"/>
        <w:rPr>
          <w:rFonts w:ascii="Times New Roman" w:hAnsi="Times New Roman" w:cs="Times New Roman"/>
        </w:rPr>
      </w:pPr>
    </w:p>
    <w:p w14:paraId="49340BA9" w14:textId="77777777" w:rsidR="00E8424D" w:rsidRPr="00EF183C" w:rsidRDefault="001D7EB3">
      <w:pPr>
        <w:pStyle w:val="Body"/>
        <w:rPr>
          <w:rFonts w:ascii="Times New Roman" w:hAnsi="Times New Roman" w:cs="Times New Roman"/>
        </w:rPr>
      </w:pPr>
      <w:r w:rsidRPr="00EF183C">
        <w:rPr>
          <w:rFonts w:ascii="Times New Roman" w:hAnsi="Times New Roman" w:cs="Times New Roman"/>
        </w:rPr>
        <w:t>Temperature-related endpoints may be established/validated for each experimental model; however, this can occur alongside existing endpoints as not to impede protocol approval. Animal stock or strain could impact the actual endpoint.</w:t>
      </w:r>
    </w:p>
    <w:p w14:paraId="6CB0372C" w14:textId="77777777" w:rsidR="00E8424D" w:rsidRPr="00EF183C" w:rsidRDefault="00E8424D">
      <w:pPr>
        <w:pStyle w:val="Body"/>
        <w:rPr>
          <w:rFonts w:ascii="Times New Roman" w:hAnsi="Times New Roman" w:cs="Times New Roman"/>
        </w:rPr>
      </w:pPr>
    </w:p>
    <w:p w14:paraId="3F417896" w14:textId="77777777" w:rsidR="00E8424D" w:rsidRPr="00EF183C" w:rsidRDefault="001D7EB3">
      <w:pPr>
        <w:pStyle w:val="Body"/>
        <w:rPr>
          <w:rFonts w:ascii="Times New Roman" w:hAnsi="Times New Roman" w:cs="Times New Roman"/>
        </w:rPr>
      </w:pPr>
      <w:r w:rsidRPr="00EF183C">
        <w:rPr>
          <w:rFonts w:ascii="Times New Roman" w:hAnsi="Times New Roman" w:cs="Times New Roman"/>
          <w:b/>
          <w:bCs/>
        </w:rPr>
        <w:t>Tumors</w:t>
      </w:r>
      <w:r w:rsidRPr="00EF183C">
        <w:rPr>
          <w:rFonts w:ascii="Times New Roman" w:hAnsi="Times New Roman" w:cs="Times New Roman"/>
        </w:rPr>
        <w:t xml:space="preserve"> are most easily assessed by size (up to 1.5 cm in mice, 2 cm in rats across the largest dimension); interference with an animal’s ability to ambulate; eat or drink; obstructs or restricts a body orifice; or other negative impacts on activity or body functions; or causes pain, discomfort, or distress. Euthanize animals with the preceding; additionally, animals must be euthanized before or when the tumor becomes ulcerated, which is evident by skin disruption to any degree. </w:t>
      </w:r>
    </w:p>
    <w:p w14:paraId="4DBBF805" w14:textId="77777777" w:rsidR="00E8424D" w:rsidRPr="00EF183C" w:rsidRDefault="00E8424D">
      <w:pPr>
        <w:pStyle w:val="Body"/>
        <w:rPr>
          <w:rFonts w:ascii="Times New Roman" w:hAnsi="Times New Roman" w:cs="Times New Roman"/>
        </w:rPr>
      </w:pPr>
    </w:p>
    <w:p w14:paraId="3F26B660" w14:textId="77777777" w:rsidR="00E8424D" w:rsidRPr="00EF183C" w:rsidRDefault="75F2FDA3">
      <w:pPr>
        <w:pStyle w:val="Body"/>
        <w:rPr>
          <w:rFonts w:ascii="Times New Roman" w:hAnsi="Times New Roman" w:cs="Times New Roman"/>
        </w:rPr>
      </w:pPr>
      <w:r w:rsidRPr="00EF183C">
        <w:rPr>
          <w:rFonts w:ascii="Times New Roman" w:hAnsi="Times New Roman" w:cs="Times New Roman"/>
        </w:rPr>
        <w:t xml:space="preserve">Those tumors occurring/induced in a body cavity will require assessment of organ system-specific clinical signs (e.g., neurologic deficits), the </w:t>
      </w:r>
      <w:proofErr w:type="gramStart"/>
      <w:r w:rsidRPr="00EF183C">
        <w:rPr>
          <w:rFonts w:ascii="Times New Roman" w:hAnsi="Times New Roman" w:cs="Times New Roman"/>
        </w:rPr>
        <w:t>animals</w:t>
      </w:r>
      <w:proofErr w:type="gramEnd"/>
      <w:r w:rsidRPr="00EF183C">
        <w:rPr>
          <w:rFonts w:ascii="Times New Roman" w:hAnsi="Times New Roman" w:cs="Times New Roman"/>
        </w:rPr>
        <w:t xml:space="preserve"> general appearance, and any other relevant criteria. </w:t>
      </w:r>
    </w:p>
    <w:p w14:paraId="4B2F638E" w14:textId="77777777" w:rsidR="00E8424D" w:rsidRPr="00EF183C" w:rsidRDefault="00E8424D">
      <w:pPr>
        <w:pStyle w:val="Body"/>
        <w:rPr>
          <w:rFonts w:ascii="Times New Roman" w:hAnsi="Times New Roman" w:cs="Times New Roman"/>
        </w:rPr>
      </w:pPr>
    </w:p>
    <w:p w14:paraId="740B20E4" w14:textId="77777777" w:rsidR="00E8424D" w:rsidRPr="00EF183C" w:rsidRDefault="001D7EB3">
      <w:pPr>
        <w:pStyle w:val="Body"/>
        <w:rPr>
          <w:rFonts w:ascii="Times New Roman" w:hAnsi="Times New Roman" w:cs="Times New Roman"/>
          <w:i/>
          <w:iCs/>
        </w:rPr>
      </w:pPr>
      <w:r w:rsidRPr="00EF183C">
        <w:rPr>
          <w:rFonts w:ascii="Times New Roman" w:hAnsi="Times New Roman" w:cs="Times New Roman"/>
          <w:i/>
          <w:iCs/>
        </w:rPr>
        <w:t xml:space="preserve">Cell lines and tumors employed require assessment for murine and human pathogens (if applicable), as well as authenticity. </w:t>
      </w:r>
    </w:p>
    <w:p w14:paraId="69F9B0A7" w14:textId="77777777" w:rsidR="00E8424D" w:rsidRPr="00EF183C" w:rsidRDefault="00E8424D">
      <w:pPr>
        <w:pStyle w:val="Body"/>
        <w:rPr>
          <w:rFonts w:ascii="Times New Roman" w:hAnsi="Times New Roman" w:cs="Times New Roman"/>
        </w:rPr>
      </w:pPr>
    </w:p>
    <w:p w14:paraId="2AFAF12D" w14:textId="6AF2A481" w:rsidR="00E8424D" w:rsidRPr="00EF183C" w:rsidRDefault="1F100CCC">
      <w:pPr>
        <w:pStyle w:val="Body"/>
        <w:rPr>
          <w:rFonts w:ascii="Times New Roman" w:hAnsi="Times New Roman" w:cs="Times New Roman"/>
        </w:rPr>
      </w:pPr>
      <w:r w:rsidRPr="00EF183C">
        <w:rPr>
          <w:rFonts w:ascii="Times New Roman" w:hAnsi="Times New Roman" w:cs="Times New Roman"/>
          <w:b/>
          <w:bCs/>
        </w:rPr>
        <w:t>Pulse oximetry</w:t>
      </w:r>
      <w:r w:rsidRPr="00EF183C">
        <w:rPr>
          <w:rFonts w:ascii="Times New Roman" w:hAnsi="Times New Roman" w:cs="Times New Roman"/>
        </w:rPr>
        <w:t xml:space="preserve"> is a noninvasive technology providing a rapid assessment of the blood’s oxygen saturation level expressed as a percent. This technology can be leveraged as an endpoint for those studies where respiratory compromise occurs.  Oxygen saturation levels less than 95% indicate significant respiratory dysfunction.</w:t>
      </w:r>
    </w:p>
    <w:p w14:paraId="78032482" w14:textId="77777777" w:rsidR="00E8424D" w:rsidRPr="00EF183C" w:rsidRDefault="00E8424D">
      <w:pPr>
        <w:pStyle w:val="Body"/>
        <w:rPr>
          <w:rFonts w:ascii="Times New Roman" w:hAnsi="Times New Roman" w:cs="Times New Roman"/>
        </w:rPr>
      </w:pPr>
    </w:p>
    <w:p w14:paraId="2B9C9546" w14:textId="380359F2" w:rsidR="00E8424D" w:rsidRPr="00EF183C" w:rsidRDefault="1F100CCC">
      <w:pPr>
        <w:pStyle w:val="Body"/>
        <w:rPr>
          <w:rFonts w:ascii="Times New Roman" w:hAnsi="Times New Roman" w:cs="Times New Roman"/>
        </w:rPr>
      </w:pPr>
      <w:r w:rsidRPr="00EF183C">
        <w:rPr>
          <w:rFonts w:ascii="Times New Roman" w:hAnsi="Times New Roman" w:cs="Times New Roman"/>
          <w:b/>
          <w:bCs/>
        </w:rPr>
        <w:t>Imaging</w:t>
      </w:r>
      <w:r w:rsidRPr="00EF183C">
        <w:rPr>
          <w:rFonts w:ascii="Times New Roman" w:hAnsi="Times New Roman" w:cs="Times New Roman"/>
        </w:rPr>
        <w:t xml:space="preserve"> provides an objective, serial, visual measure of a tumor’s state. It is particularly helpful in orthotropic tumor implants in body cavities that are poorly visualized (</w:t>
      </w:r>
      <w:proofErr w:type="gramStart"/>
      <w:r w:rsidRPr="00EF183C">
        <w:rPr>
          <w:rFonts w:ascii="Times New Roman" w:hAnsi="Times New Roman" w:cs="Times New Roman"/>
        </w:rPr>
        <w:t>e.g.</w:t>
      </w:r>
      <w:proofErr w:type="gramEnd"/>
      <w:r w:rsidRPr="00EF183C">
        <w:rPr>
          <w:rFonts w:ascii="Times New Roman" w:hAnsi="Times New Roman" w:cs="Times New Roman"/>
        </w:rPr>
        <w:t xml:space="preserve"> cranium, thorax, abdomen). Various imaging methods may be beneficial to assess tumor progression and metastasis. </w:t>
      </w:r>
    </w:p>
    <w:p w14:paraId="6C2E8395" w14:textId="77777777" w:rsidR="00E8424D" w:rsidRPr="00EF183C" w:rsidRDefault="00E8424D">
      <w:pPr>
        <w:pStyle w:val="Body"/>
        <w:rPr>
          <w:rFonts w:ascii="Times New Roman" w:hAnsi="Times New Roman" w:cs="Times New Roman"/>
        </w:rPr>
      </w:pPr>
    </w:p>
    <w:p w14:paraId="4F7AD274" w14:textId="77777777" w:rsidR="00E8424D" w:rsidRPr="00EF183C" w:rsidRDefault="001D7EB3">
      <w:pPr>
        <w:pStyle w:val="Body"/>
        <w:rPr>
          <w:rFonts w:ascii="Times New Roman" w:hAnsi="Times New Roman" w:cs="Times New Roman"/>
        </w:rPr>
      </w:pPr>
      <w:r w:rsidRPr="00EF183C">
        <w:rPr>
          <w:rFonts w:ascii="Times New Roman" w:hAnsi="Times New Roman" w:cs="Times New Roman"/>
          <w:b/>
          <w:bCs/>
        </w:rPr>
        <w:t>Biomarkers</w:t>
      </w:r>
      <w:r w:rsidRPr="00EF183C">
        <w:rPr>
          <w:rFonts w:ascii="Times New Roman" w:hAnsi="Times New Roman" w:cs="Times New Roman"/>
        </w:rPr>
        <w:t xml:space="preserve"> provide objective, serial, clinical measures of an animal’s biologic state and over time, disease progression. The markers may be used alone, or in combination with other items or factors to assess an animal’s health or disease state. There are a variety of biomarkers for various biologic systems.</w:t>
      </w:r>
    </w:p>
    <w:p w14:paraId="35E89890" w14:textId="77777777" w:rsidR="00E8424D" w:rsidRPr="00EF183C" w:rsidRDefault="00E8424D">
      <w:pPr>
        <w:pStyle w:val="Body"/>
        <w:rPr>
          <w:rFonts w:ascii="Times New Roman" w:hAnsi="Times New Roman" w:cs="Times New Roman"/>
        </w:rPr>
      </w:pPr>
    </w:p>
    <w:p w14:paraId="37319FC9" w14:textId="77777777" w:rsidR="00E8424D" w:rsidRPr="00EF183C" w:rsidRDefault="00E8424D">
      <w:pPr>
        <w:pStyle w:val="Body"/>
        <w:rPr>
          <w:rFonts w:ascii="Times New Roman" w:hAnsi="Times New Roman" w:cs="Times New Roman"/>
        </w:rPr>
      </w:pPr>
    </w:p>
    <w:p w14:paraId="62A11EC5" w14:textId="77777777" w:rsidR="001D507B" w:rsidRDefault="001D507B">
      <w:pPr>
        <w:rPr>
          <w:b/>
          <w:bCs/>
          <w:color w:val="000000"/>
          <w14:textOutline w14:w="0" w14:cap="flat" w14:cmpd="sng" w14:algn="ctr">
            <w14:noFill/>
            <w14:prstDash w14:val="solid"/>
            <w14:bevel/>
          </w14:textOutline>
        </w:rPr>
      </w:pPr>
      <w:r>
        <w:rPr>
          <w:b/>
          <w:bCs/>
        </w:rPr>
        <w:br w:type="page"/>
      </w:r>
    </w:p>
    <w:p w14:paraId="05CBA2D6" w14:textId="47CEC67A" w:rsidR="00E8424D" w:rsidRPr="00EF183C" w:rsidRDefault="001D7EB3">
      <w:pPr>
        <w:pStyle w:val="Body"/>
        <w:jc w:val="center"/>
        <w:rPr>
          <w:rFonts w:ascii="Times New Roman" w:hAnsi="Times New Roman" w:cs="Times New Roman"/>
          <w:b/>
          <w:bCs/>
        </w:rPr>
      </w:pPr>
      <w:r w:rsidRPr="00EF183C">
        <w:rPr>
          <w:rFonts w:ascii="Times New Roman" w:hAnsi="Times New Roman" w:cs="Times New Roman"/>
          <w:b/>
          <w:bCs/>
        </w:rPr>
        <w:lastRenderedPageBreak/>
        <w:t>Table 2. Studies using hypothermia as an experimental or humane endpoint.</w:t>
      </w:r>
    </w:p>
    <w:tbl>
      <w:tblPr>
        <w:tblW w:w="93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339"/>
        <w:gridCol w:w="3045"/>
        <w:gridCol w:w="2062"/>
        <w:gridCol w:w="1907"/>
      </w:tblGrid>
      <w:tr w:rsidR="00E8424D" w:rsidRPr="0038146F" w14:paraId="5D518EF7" w14:textId="77777777">
        <w:trPr>
          <w:trHeight w:val="295"/>
          <w:tblHeader/>
        </w:trPr>
        <w:tc>
          <w:tcPr>
            <w:tcW w:w="233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032A3C9"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Study Type</w:t>
            </w:r>
          </w:p>
        </w:tc>
        <w:tc>
          <w:tcPr>
            <w:tcW w:w="304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1C25120"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Temperature (°C)</w:t>
            </w:r>
          </w:p>
        </w:tc>
        <w:tc>
          <w:tcPr>
            <w:tcW w:w="2062"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6AF233F"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 xml:space="preserve">Device </w:t>
            </w:r>
          </w:p>
        </w:tc>
        <w:tc>
          <w:tcPr>
            <w:tcW w:w="190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7E813EF"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Reference (PMID)</w:t>
            </w:r>
          </w:p>
        </w:tc>
      </w:tr>
      <w:tr w:rsidR="00E8424D" w:rsidRPr="0038146F" w14:paraId="26033ED5" w14:textId="77777777">
        <w:tblPrEx>
          <w:shd w:val="clear" w:color="auto" w:fill="auto"/>
        </w:tblPrEx>
        <w:trPr>
          <w:trHeight w:val="295"/>
        </w:trPr>
        <w:tc>
          <w:tcPr>
            <w:tcW w:w="2338" w:type="dxa"/>
            <w:tcBorders>
              <w:top w:val="single" w:sz="6" w:space="0" w:color="000000"/>
              <w:left w:val="single" w:sz="2" w:space="0" w:color="000000"/>
              <w:bottom w:val="single" w:sz="2" w:space="0" w:color="000000"/>
              <w:right w:val="single" w:sz="6" w:space="0" w:color="000000"/>
            </w:tcBorders>
            <w:shd w:val="clear" w:color="auto" w:fill="56C1FE"/>
            <w:tcMar>
              <w:top w:w="80" w:type="dxa"/>
              <w:left w:w="80" w:type="dxa"/>
              <w:bottom w:w="80" w:type="dxa"/>
              <w:right w:w="80" w:type="dxa"/>
            </w:tcMar>
          </w:tcPr>
          <w:p w14:paraId="1CE67D16"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Aging</w:t>
            </w:r>
          </w:p>
        </w:tc>
        <w:tc>
          <w:tcPr>
            <w:tcW w:w="3044" w:type="dxa"/>
            <w:tcBorders>
              <w:top w:val="single" w:sz="6" w:space="0" w:color="000000"/>
              <w:left w:val="single" w:sz="6" w:space="0" w:color="000000"/>
              <w:bottom w:val="single" w:sz="2" w:space="0" w:color="000000"/>
              <w:right w:val="single" w:sz="2" w:space="0" w:color="000000"/>
            </w:tcBorders>
            <w:shd w:val="clear" w:color="auto" w:fill="56C1FE"/>
            <w:tcMar>
              <w:top w:w="80" w:type="dxa"/>
              <w:left w:w="80" w:type="dxa"/>
              <w:bottom w:w="80" w:type="dxa"/>
              <w:right w:w="80" w:type="dxa"/>
            </w:tcMar>
          </w:tcPr>
          <w:p w14:paraId="51598949" w14:textId="77777777" w:rsidR="00E8424D" w:rsidRPr="0038146F" w:rsidRDefault="00E8424D"/>
        </w:tc>
        <w:tc>
          <w:tcPr>
            <w:tcW w:w="2062" w:type="dxa"/>
            <w:tcBorders>
              <w:top w:val="single" w:sz="6" w:space="0" w:color="000000"/>
              <w:left w:val="single" w:sz="2" w:space="0" w:color="000000"/>
              <w:bottom w:val="single" w:sz="2" w:space="0" w:color="000000"/>
              <w:right w:val="single" w:sz="2" w:space="0" w:color="000000"/>
            </w:tcBorders>
            <w:shd w:val="clear" w:color="auto" w:fill="56C1FE"/>
            <w:tcMar>
              <w:top w:w="80" w:type="dxa"/>
              <w:left w:w="80" w:type="dxa"/>
              <w:bottom w:w="80" w:type="dxa"/>
              <w:right w:w="80" w:type="dxa"/>
            </w:tcMar>
          </w:tcPr>
          <w:p w14:paraId="72F49C9E" w14:textId="77777777" w:rsidR="00E8424D" w:rsidRPr="0038146F" w:rsidRDefault="00E8424D"/>
        </w:tc>
        <w:tc>
          <w:tcPr>
            <w:tcW w:w="1907" w:type="dxa"/>
            <w:tcBorders>
              <w:top w:val="single" w:sz="6" w:space="0" w:color="000000"/>
              <w:left w:val="single" w:sz="2" w:space="0" w:color="000000"/>
              <w:bottom w:val="single" w:sz="2" w:space="0" w:color="000000"/>
              <w:right w:val="single" w:sz="2" w:space="0" w:color="000000"/>
            </w:tcBorders>
            <w:shd w:val="clear" w:color="auto" w:fill="56C1FE"/>
            <w:tcMar>
              <w:top w:w="80" w:type="dxa"/>
              <w:left w:w="80" w:type="dxa"/>
              <w:bottom w:w="80" w:type="dxa"/>
              <w:right w:w="80" w:type="dxa"/>
            </w:tcMar>
          </w:tcPr>
          <w:p w14:paraId="2D295734" w14:textId="77777777" w:rsidR="00E8424D" w:rsidRPr="0038146F" w:rsidRDefault="00E8424D"/>
        </w:tc>
      </w:tr>
      <w:tr w:rsidR="00E8424D" w:rsidRPr="0038146F" w14:paraId="587A263F" w14:textId="77777777">
        <w:tblPrEx>
          <w:shd w:val="clear" w:color="auto" w:fill="auto"/>
        </w:tblPrEx>
        <w:trPr>
          <w:trHeight w:val="487"/>
        </w:trPr>
        <w:tc>
          <w:tcPr>
            <w:tcW w:w="233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658E3C28"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 xml:space="preserve">Used a body weight x temperature metric </w:t>
            </w:r>
          </w:p>
        </w:tc>
        <w:tc>
          <w:tcPr>
            <w:tcW w:w="3044"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1CA6AF03"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Temperatures fell by more than 1 °C the final few weeks of life</w:t>
            </w:r>
          </w:p>
        </w:tc>
        <w:tc>
          <w:tcPr>
            <w:tcW w:w="206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4194CFD2"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SQ Microchip</w:t>
            </w:r>
          </w:p>
        </w:tc>
        <w:tc>
          <w:tcPr>
            <w:tcW w:w="19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04F57AF1" w14:textId="77777777" w:rsidR="00E8424D" w:rsidRPr="00EF183C" w:rsidRDefault="001D7EB3">
            <w:pPr>
              <w:pStyle w:val="TableStyle2"/>
              <w:jc w:val="center"/>
              <w:rPr>
                <w:rFonts w:ascii="Times New Roman" w:hAnsi="Times New Roman" w:cs="Times New Roman"/>
                <w:sz w:val="24"/>
                <w:szCs w:val="24"/>
              </w:rPr>
            </w:pPr>
            <w:hyperlink r:id="rId15" w:history="1">
              <w:r w:rsidRPr="00EF183C">
                <w:rPr>
                  <w:rStyle w:val="Hyperlink0"/>
                  <w:rFonts w:ascii="Times New Roman" w:hAnsi="Times New Roman" w:cs="Times New Roman"/>
                  <w:sz w:val="24"/>
                  <w:szCs w:val="24"/>
                </w:rPr>
                <w:t>20587157</w:t>
              </w:r>
            </w:hyperlink>
          </w:p>
        </w:tc>
      </w:tr>
      <w:tr w:rsidR="00E8424D" w:rsidRPr="0038146F" w14:paraId="3716C377" w14:textId="77777777">
        <w:tblPrEx>
          <w:shd w:val="clear" w:color="auto" w:fill="auto"/>
        </w:tblPrEx>
        <w:trPr>
          <w:trHeight w:val="487"/>
        </w:trPr>
        <w:tc>
          <w:tcPr>
            <w:tcW w:w="233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611A2FA7"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 xml:space="preserve">Used a body weight x temperature metric </w:t>
            </w:r>
          </w:p>
        </w:tc>
        <w:tc>
          <w:tcPr>
            <w:tcW w:w="3044"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4A301AB"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Temperatures fell by more than 1 °C the final few weeks of life</w:t>
            </w:r>
          </w:p>
        </w:tc>
        <w:tc>
          <w:tcPr>
            <w:tcW w:w="20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C83DB75"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SQ Microchip</w:t>
            </w:r>
          </w:p>
        </w:tc>
        <w:tc>
          <w:tcPr>
            <w:tcW w:w="19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986E548" w14:textId="77777777" w:rsidR="00E8424D" w:rsidRPr="00EF183C" w:rsidRDefault="001D7EB3">
            <w:pPr>
              <w:pStyle w:val="TableStyle2"/>
              <w:jc w:val="center"/>
              <w:rPr>
                <w:rFonts w:ascii="Times New Roman" w:hAnsi="Times New Roman" w:cs="Times New Roman"/>
                <w:sz w:val="24"/>
                <w:szCs w:val="24"/>
              </w:rPr>
            </w:pPr>
            <w:hyperlink r:id="rId16" w:history="1">
              <w:r w:rsidRPr="00EF183C">
                <w:rPr>
                  <w:rStyle w:val="Hyperlink0"/>
                  <w:rFonts w:ascii="Times New Roman" w:hAnsi="Times New Roman" w:cs="Times New Roman"/>
                  <w:sz w:val="24"/>
                  <w:szCs w:val="24"/>
                </w:rPr>
                <w:t>22776049</w:t>
              </w:r>
            </w:hyperlink>
          </w:p>
        </w:tc>
      </w:tr>
      <w:tr w:rsidR="00E8424D" w:rsidRPr="0038146F" w14:paraId="6709AADC" w14:textId="77777777">
        <w:tblPrEx>
          <w:shd w:val="clear" w:color="auto" w:fill="auto"/>
        </w:tblPrEx>
        <w:trPr>
          <w:trHeight w:val="295"/>
        </w:trPr>
        <w:tc>
          <w:tcPr>
            <w:tcW w:w="2338" w:type="dxa"/>
            <w:tcBorders>
              <w:top w:val="single" w:sz="2" w:space="0" w:color="000000"/>
              <w:left w:val="single" w:sz="2" w:space="0" w:color="000000"/>
              <w:bottom w:val="single" w:sz="2" w:space="0" w:color="000000"/>
              <w:right w:val="single" w:sz="6" w:space="0" w:color="000000"/>
            </w:tcBorders>
            <w:shd w:val="clear" w:color="auto" w:fill="56C1FE"/>
            <w:tcMar>
              <w:top w:w="80" w:type="dxa"/>
              <w:left w:w="80" w:type="dxa"/>
              <w:bottom w:w="80" w:type="dxa"/>
              <w:right w:w="80" w:type="dxa"/>
            </w:tcMar>
            <w:vAlign w:val="center"/>
          </w:tcPr>
          <w:p w14:paraId="7F556A91"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Bacteria</w:t>
            </w:r>
          </w:p>
        </w:tc>
        <w:tc>
          <w:tcPr>
            <w:tcW w:w="3044" w:type="dxa"/>
            <w:tcBorders>
              <w:top w:val="single" w:sz="2" w:space="0" w:color="000000"/>
              <w:left w:val="single" w:sz="6" w:space="0" w:color="000000"/>
              <w:bottom w:val="single" w:sz="2" w:space="0" w:color="000000"/>
              <w:right w:val="single" w:sz="2" w:space="0" w:color="000000"/>
            </w:tcBorders>
            <w:shd w:val="clear" w:color="auto" w:fill="56C1FE"/>
            <w:tcMar>
              <w:top w:w="80" w:type="dxa"/>
              <w:left w:w="80" w:type="dxa"/>
              <w:bottom w:w="80" w:type="dxa"/>
              <w:right w:w="80" w:type="dxa"/>
            </w:tcMar>
            <w:vAlign w:val="center"/>
          </w:tcPr>
          <w:p w14:paraId="0AE641AD" w14:textId="77777777" w:rsidR="00E8424D" w:rsidRPr="0038146F" w:rsidRDefault="00E8424D"/>
        </w:tc>
        <w:tc>
          <w:tcPr>
            <w:tcW w:w="2062" w:type="dxa"/>
            <w:tcBorders>
              <w:top w:val="single" w:sz="2" w:space="0" w:color="000000"/>
              <w:left w:val="single" w:sz="2" w:space="0" w:color="000000"/>
              <w:bottom w:val="single" w:sz="2" w:space="0" w:color="000000"/>
              <w:right w:val="single" w:sz="2" w:space="0" w:color="000000"/>
            </w:tcBorders>
            <w:shd w:val="clear" w:color="auto" w:fill="56C1FE"/>
            <w:tcMar>
              <w:top w:w="80" w:type="dxa"/>
              <w:left w:w="80" w:type="dxa"/>
              <w:bottom w:w="80" w:type="dxa"/>
              <w:right w:w="80" w:type="dxa"/>
            </w:tcMar>
            <w:vAlign w:val="center"/>
          </w:tcPr>
          <w:p w14:paraId="3E724D35" w14:textId="77777777" w:rsidR="00E8424D" w:rsidRPr="0038146F" w:rsidRDefault="00E8424D"/>
        </w:tc>
        <w:tc>
          <w:tcPr>
            <w:tcW w:w="1907" w:type="dxa"/>
            <w:tcBorders>
              <w:top w:val="single" w:sz="2" w:space="0" w:color="000000"/>
              <w:left w:val="single" w:sz="2" w:space="0" w:color="000000"/>
              <w:bottom w:val="single" w:sz="2" w:space="0" w:color="000000"/>
              <w:right w:val="single" w:sz="2" w:space="0" w:color="000000"/>
            </w:tcBorders>
            <w:shd w:val="clear" w:color="auto" w:fill="56C1FE"/>
            <w:tcMar>
              <w:top w:w="80" w:type="dxa"/>
              <w:left w:w="80" w:type="dxa"/>
              <w:bottom w:w="80" w:type="dxa"/>
              <w:right w:w="80" w:type="dxa"/>
            </w:tcMar>
            <w:vAlign w:val="center"/>
          </w:tcPr>
          <w:p w14:paraId="4208CF68" w14:textId="77777777" w:rsidR="00E8424D" w:rsidRPr="0038146F" w:rsidRDefault="00E8424D"/>
        </w:tc>
      </w:tr>
      <w:tr w:rsidR="00E8424D" w:rsidRPr="0038146F" w14:paraId="45FD6FCE" w14:textId="77777777">
        <w:tblPrEx>
          <w:shd w:val="clear" w:color="auto" w:fill="auto"/>
        </w:tblPrEx>
        <w:trPr>
          <w:trHeight w:val="487"/>
        </w:trPr>
        <w:tc>
          <w:tcPr>
            <w:tcW w:w="233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78ECB134"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i/>
                <w:iCs/>
                <w:sz w:val="24"/>
                <w:szCs w:val="24"/>
                <w:lang w:val="es-ES_tradnl"/>
              </w:rPr>
              <w:t xml:space="preserve">Vibrio </w:t>
            </w:r>
            <w:proofErr w:type="spellStart"/>
            <w:r w:rsidRPr="00EF183C">
              <w:rPr>
                <w:rFonts w:ascii="Times New Roman" w:hAnsi="Times New Roman" w:cs="Times New Roman"/>
                <w:i/>
                <w:iCs/>
                <w:sz w:val="24"/>
                <w:szCs w:val="24"/>
                <w:lang w:val="es-ES_tradnl"/>
              </w:rPr>
              <w:t>vulnificus</w:t>
            </w:r>
            <w:proofErr w:type="spellEnd"/>
            <w:r w:rsidRPr="00EF183C">
              <w:rPr>
                <w:rFonts w:ascii="Times New Roman" w:hAnsi="Times New Roman" w:cs="Times New Roman"/>
                <w:sz w:val="24"/>
                <w:szCs w:val="24"/>
              </w:rPr>
              <w:t xml:space="preserve"> </w:t>
            </w:r>
          </w:p>
        </w:tc>
        <w:tc>
          <w:tcPr>
            <w:tcW w:w="3044"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B571EB0"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≤23.5</w:t>
            </w:r>
          </w:p>
        </w:tc>
        <w:tc>
          <w:tcPr>
            <w:tcW w:w="20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8411716"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IR Thermometer at the sternal base</w:t>
            </w:r>
          </w:p>
        </w:tc>
        <w:tc>
          <w:tcPr>
            <w:tcW w:w="19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41F75F8" w14:textId="77777777" w:rsidR="00E8424D" w:rsidRPr="00EF183C" w:rsidRDefault="001D7EB3">
            <w:pPr>
              <w:pStyle w:val="TableStyle2"/>
              <w:jc w:val="center"/>
              <w:rPr>
                <w:rFonts w:ascii="Times New Roman" w:hAnsi="Times New Roman" w:cs="Times New Roman"/>
                <w:sz w:val="24"/>
                <w:szCs w:val="24"/>
              </w:rPr>
            </w:pPr>
            <w:hyperlink r:id="rId17" w:history="1">
              <w:r w:rsidRPr="00EF183C">
                <w:rPr>
                  <w:rStyle w:val="Hyperlink0"/>
                  <w:rFonts w:ascii="Times New Roman" w:hAnsi="Times New Roman" w:cs="Times New Roman"/>
                  <w:sz w:val="24"/>
                  <w:szCs w:val="24"/>
                </w:rPr>
                <w:t>28629317</w:t>
              </w:r>
            </w:hyperlink>
          </w:p>
        </w:tc>
      </w:tr>
      <w:tr w:rsidR="00E8424D" w:rsidRPr="0038146F" w14:paraId="62FD59B2" w14:textId="77777777">
        <w:tblPrEx>
          <w:shd w:val="clear" w:color="auto" w:fill="auto"/>
        </w:tblPrEx>
        <w:trPr>
          <w:trHeight w:val="727"/>
        </w:trPr>
        <w:tc>
          <w:tcPr>
            <w:tcW w:w="233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26B6FAF8"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i/>
                <w:iCs/>
                <w:sz w:val="24"/>
                <w:szCs w:val="24"/>
              </w:rPr>
              <w:t>P. aeruginosa</w:t>
            </w:r>
          </w:p>
          <w:p w14:paraId="54C6BA5C"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i/>
                <w:iCs/>
                <w:sz w:val="24"/>
                <w:szCs w:val="24"/>
              </w:rPr>
              <w:t>S. aureus</w:t>
            </w:r>
          </w:p>
          <w:p w14:paraId="66E83316"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i/>
                <w:iCs/>
                <w:sz w:val="24"/>
                <w:szCs w:val="24"/>
              </w:rPr>
              <w:t>S. epidermidis</w:t>
            </w:r>
          </w:p>
        </w:tc>
        <w:tc>
          <w:tcPr>
            <w:tcW w:w="3044"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74FCC0C2"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34</w:t>
            </w:r>
          </w:p>
        </w:tc>
        <w:tc>
          <w:tcPr>
            <w:tcW w:w="206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1F7BD6A7"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Rectal probe</w:t>
            </w:r>
          </w:p>
        </w:tc>
        <w:tc>
          <w:tcPr>
            <w:tcW w:w="19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6CE68807" w14:textId="77777777" w:rsidR="00E8424D" w:rsidRPr="00EF183C" w:rsidRDefault="001D7EB3">
            <w:pPr>
              <w:pStyle w:val="TableStyle2"/>
              <w:jc w:val="center"/>
              <w:rPr>
                <w:rFonts w:ascii="Times New Roman" w:hAnsi="Times New Roman" w:cs="Times New Roman"/>
                <w:sz w:val="24"/>
                <w:szCs w:val="24"/>
              </w:rPr>
            </w:pPr>
            <w:hyperlink r:id="rId18" w:history="1">
              <w:r w:rsidRPr="00EF183C">
                <w:rPr>
                  <w:rStyle w:val="Hyperlink0"/>
                  <w:rFonts w:ascii="Times New Roman" w:hAnsi="Times New Roman" w:cs="Times New Roman"/>
                  <w:sz w:val="24"/>
                  <w:szCs w:val="24"/>
                </w:rPr>
                <w:t>1576081</w:t>
              </w:r>
            </w:hyperlink>
          </w:p>
        </w:tc>
      </w:tr>
      <w:tr w:rsidR="00E8424D" w:rsidRPr="0038146F" w14:paraId="719CBA58" w14:textId="77777777">
        <w:tblPrEx>
          <w:shd w:val="clear" w:color="auto" w:fill="auto"/>
        </w:tblPrEx>
        <w:trPr>
          <w:trHeight w:val="295"/>
        </w:trPr>
        <w:tc>
          <w:tcPr>
            <w:tcW w:w="233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2C66E3E6"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i/>
                <w:iCs/>
                <w:sz w:val="24"/>
                <w:szCs w:val="24"/>
              </w:rPr>
              <w:t>K. pneumoniae</w:t>
            </w:r>
          </w:p>
        </w:tc>
        <w:tc>
          <w:tcPr>
            <w:tcW w:w="3044"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241A70E"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36</w:t>
            </w:r>
          </w:p>
        </w:tc>
        <w:tc>
          <w:tcPr>
            <w:tcW w:w="20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BB275EA"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SQ/IP Microchip</w:t>
            </w:r>
          </w:p>
        </w:tc>
        <w:tc>
          <w:tcPr>
            <w:tcW w:w="19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86263D4" w14:textId="77777777" w:rsidR="00E8424D" w:rsidRPr="00EF183C" w:rsidRDefault="001D7EB3">
            <w:pPr>
              <w:pStyle w:val="TableStyle2"/>
              <w:jc w:val="center"/>
              <w:rPr>
                <w:rFonts w:ascii="Times New Roman" w:hAnsi="Times New Roman" w:cs="Times New Roman"/>
                <w:sz w:val="24"/>
                <w:szCs w:val="24"/>
              </w:rPr>
            </w:pPr>
            <w:hyperlink r:id="rId19" w:history="1">
              <w:r w:rsidRPr="00EF183C">
                <w:rPr>
                  <w:rStyle w:val="Hyperlink0"/>
                  <w:rFonts w:ascii="Times New Roman" w:hAnsi="Times New Roman" w:cs="Times New Roman"/>
                  <w:sz w:val="24"/>
                  <w:szCs w:val="24"/>
                </w:rPr>
                <w:t>9718473</w:t>
              </w:r>
            </w:hyperlink>
          </w:p>
        </w:tc>
      </w:tr>
      <w:tr w:rsidR="00E8424D" w:rsidRPr="0038146F" w14:paraId="4A50E221" w14:textId="77777777">
        <w:tblPrEx>
          <w:shd w:val="clear" w:color="auto" w:fill="auto"/>
        </w:tblPrEx>
        <w:trPr>
          <w:trHeight w:val="487"/>
        </w:trPr>
        <w:tc>
          <w:tcPr>
            <w:tcW w:w="233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24A5A567"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i/>
                <w:iCs/>
                <w:sz w:val="24"/>
                <w:szCs w:val="24"/>
              </w:rPr>
              <w:t>Streptococcus pneumoniae</w:t>
            </w:r>
          </w:p>
        </w:tc>
        <w:tc>
          <w:tcPr>
            <w:tcW w:w="3044"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01C71565"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Temperature x Body Weight &lt; 90% of baseline</w:t>
            </w:r>
          </w:p>
        </w:tc>
        <w:tc>
          <w:tcPr>
            <w:tcW w:w="206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4D8C8747"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SQ Microchip</w:t>
            </w:r>
          </w:p>
        </w:tc>
        <w:tc>
          <w:tcPr>
            <w:tcW w:w="19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232E827E" w14:textId="77777777" w:rsidR="00E8424D" w:rsidRPr="00EF183C" w:rsidRDefault="001D7EB3">
            <w:pPr>
              <w:pStyle w:val="TableStyle2"/>
              <w:jc w:val="center"/>
              <w:rPr>
                <w:rFonts w:ascii="Times New Roman" w:hAnsi="Times New Roman" w:cs="Times New Roman"/>
                <w:sz w:val="24"/>
                <w:szCs w:val="24"/>
              </w:rPr>
            </w:pPr>
            <w:hyperlink r:id="rId20" w:history="1">
              <w:r w:rsidRPr="00EF183C">
                <w:rPr>
                  <w:rStyle w:val="Hyperlink0"/>
                  <w:rFonts w:ascii="Times New Roman" w:hAnsi="Times New Roman" w:cs="Times New Roman"/>
                  <w:sz w:val="24"/>
                  <w:szCs w:val="24"/>
                </w:rPr>
                <w:t>22330575</w:t>
              </w:r>
            </w:hyperlink>
          </w:p>
        </w:tc>
      </w:tr>
      <w:tr w:rsidR="00E8424D" w:rsidRPr="0038146F" w14:paraId="6488AFC0" w14:textId="77777777">
        <w:tblPrEx>
          <w:shd w:val="clear" w:color="auto" w:fill="auto"/>
        </w:tblPrEx>
        <w:trPr>
          <w:trHeight w:val="295"/>
        </w:trPr>
        <w:tc>
          <w:tcPr>
            <w:tcW w:w="2338" w:type="dxa"/>
            <w:tcBorders>
              <w:top w:val="single" w:sz="2" w:space="0" w:color="000000"/>
              <w:left w:val="single" w:sz="2" w:space="0" w:color="000000"/>
              <w:bottom w:val="single" w:sz="2" w:space="0" w:color="000000"/>
              <w:right w:val="single" w:sz="6" w:space="0" w:color="000000"/>
            </w:tcBorders>
            <w:shd w:val="clear" w:color="auto" w:fill="56C1FE"/>
            <w:tcMar>
              <w:top w:w="80" w:type="dxa"/>
              <w:left w:w="80" w:type="dxa"/>
              <w:bottom w:w="80" w:type="dxa"/>
              <w:right w:w="80" w:type="dxa"/>
            </w:tcMar>
            <w:vAlign w:val="center"/>
          </w:tcPr>
          <w:p w14:paraId="1BFFFB56"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Fungal</w:t>
            </w:r>
          </w:p>
        </w:tc>
        <w:tc>
          <w:tcPr>
            <w:tcW w:w="3044" w:type="dxa"/>
            <w:tcBorders>
              <w:top w:val="single" w:sz="2" w:space="0" w:color="000000"/>
              <w:left w:val="single" w:sz="6" w:space="0" w:color="000000"/>
              <w:bottom w:val="single" w:sz="2" w:space="0" w:color="000000"/>
              <w:right w:val="single" w:sz="2" w:space="0" w:color="000000"/>
            </w:tcBorders>
            <w:shd w:val="clear" w:color="auto" w:fill="56C1FE"/>
            <w:tcMar>
              <w:top w:w="80" w:type="dxa"/>
              <w:left w:w="80" w:type="dxa"/>
              <w:bottom w:w="80" w:type="dxa"/>
              <w:right w:w="80" w:type="dxa"/>
            </w:tcMar>
            <w:vAlign w:val="center"/>
          </w:tcPr>
          <w:p w14:paraId="4659C292" w14:textId="77777777" w:rsidR="00E8424D" w:rsidRPr="0038146F" w:rsidRDefault="00E8424D"/>
        </w:tc>
        <w:tc>
          <w:tcPr>
            <w:tcW w:w="2062" w:type="dxa"/>
            <w:tcBorders>
              <w:top w:val="single" w:sz="2" w:space="0" w:color="000000"/>
              <w:left w:val="single" w:sz="2" w:space="0" w:color="000000"/>
              <w:bottom w:val="single" w:sz="2" w:space="0" w:color="000000"/>
              <w:right w:val="single" w:sz="2" w:space="0" w:color="000000"/>
            </w:tcBorders>
            <w:shd w:val="clear" w:color="auto" w:fill="56C1FE"/>
            <w:tcMar>
              <w:top w:w="80" w:type="dxa"/>
              <w:left w:w="80" w:type="dxa"/>
              <w:bottom w:w="80" w:type="dxa"/>
              <w:right w:w="80" w:type="dxa"/>
            </w:tcMar>
            <w:vAlign w:val="center"/>
          </w:tcPr>
          <w:p w14:paraId="7C8A3AF2" w14:textId="77777777" w:rsidR="00E8424D" w:rsidRPr="0038146F" w:rsidRDefault="00E8424D"/>
        </w:tc>
        <w:tc>
          <w:tcPr>
            <w:tcW w:w="1907" w:type="dxa"/>
            <w:tcBorders>
              <w:top w:val="single" w:sz="2" w:space="0" w:color="000000"/>
              <w:left w:val="single" w:sz="2" w:space="0" w:color="000000"/>
              <w:bottom w:val="single" w:sz="2" w:space="0" w:color="000000"/>
              <w:right w:val="single" w:sz="2" w:space="0" w:color="000000"/>
            </w:tcBorders>
            <w:shd w:val="clear" w:color="auto" w:fill="56C1FE"/>
            <w:tcMar>
              <w:top w:w="80" w:type="dxa"/>
              <w:left w:w="80" w:type="dxa"/>
              <w:bottom w:w="80" w:type="dxa"/>
              <w:right w:w="80" w:type="dxa"/>
            </w:tcMar>
            <w:vAlign w:val="center"/>
          </w:tcPr>
          <w:p w14:paraId="5E0442EF" w14:textId="77777777" w:rsidR="00E8424D" w:rsidRPr="0038146F" w:rsidRDefault="00E8424D"/>
        </w:tc>
      </w:tr>
      <w:tr w:rsidR="00E8424D" w:rsidRPr="0038146F" w14:paraId="27BA566F" w14:textId="77777777">
        <w:tblPrEx>
          <w:shd w:val="clear" w:color="auto" w:fill="auto"/>
        </w:tblPrEx>
        <w:trPr>
          <w:trHeight w:val="487"/>
        </w:trPr>
        <w:tc>
          <w:tcPr>
            <w:tcW w:w="233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6ACB4C4A"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i/>
                <w:iCs/>
                <w:sz w:val="24"/>
                <w:szCs w:val="24"/>
              </w:rPr>
              <w:t>Aspergillus fumigatus</w:t>
            </w:r>
          </w:p>
        </w:tc>
        <w:tc>
          <w:tcPr>
            <w:tcW w:w="3044"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143A902C"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29.0</w:t>
            </w:r>
          </w:p>
        </w:tc>
        <w:tc>
          <w:tcPr>
            <w:tcW w:w="206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25B9A102"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IR Thermometer at the lower abdomen</w:t>
            </w:r>
          </w:p>
        </w:tc>
        <w:tc>
          <w:tcPr>
            <w:tcW w:w="19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5D6285F8" w14:textId="77777777" w:rsidR="00E8424D" w:rsidRPr="00EF183C" w:rsidRDefault="001D7EB3">
            <w:pPr>
              <w:pStyle w:val="TableStyle2"/>
              <w:jc w:val="center"/>
              <w:rPr>
                <w:rFonts w:ascii="Times New Roman" w:hAnsi="Times New Roman" w:cs="Times New Roman"/>
                <w:sz w:val="24"/>
                <w:szCs w:val="24"/>
              </w:rPr>
            </w:pPr>
            <w:hyperlink r:id="rId21" w:history="1">
              <w:r w:rsidRPr="00EF183C">
                <w:rPr>
                  <w:rStyle w:val="Hyperlink0"/>
                  <w:rFonts w:ascii="Times New Roman" w:hAnsi="Times New Roman" w:cs="Times New Roman"/>
                  <w:sz w:val="24"/>
                  <w:szCs w:val="24"/>
                </w:rPr>
                <w:t>24326222</w:t>
              </w:r>
            </w:hyperlink>
          </w:p>
        </w:tc>
      </w:tr>
      <w:tr w:rsidR="00E8424D" w:rsidRPr="0038146F" w14:paraId="0CAB5466" w14:textId="77777777">
        <w:tblPrEx>
          <w:shd w:val="clear" w:color="auto" w:fill="auto"/>
        </w:tblPrEx>
        <w:trPr>
          <w:trHeight w:val="295"/>
        </w:trPr>
        <w:tc>
          <w:tcPr>
            <w:tcW w:w="233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3292A3E9"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i/>
                <w:iCs/>
                <w:sz w:val="24"/>
                <w:szCs w:val="24"/>
              </w:rPr>
              <w:t>Candida albicans</w:t>
            </w:r>
          </w:p>
        </w:tc>
        <w:tc>
          <w:tcPr>
            <w:tcW w:w="3044"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EA6F557"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33.3</w:t>
            </w:r>
          </w:p>
        </w:tc>
        <w:tc>
          <w:tcPr>
            <w:tcW w:w="20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61EE053"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SQ Microchip</w:t>
            </w:r>
          </w:p>
        </w:tc>
        <w:tc>
          <w:tcPr>
            <w:tcW w:w="19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90A234" w14:textId="77777777" w:rsidR="00E8424D" w:rsidRPr="00EF183C" w:rsidRDefault="001D7EB3">
            <w:pPr>
              <w:pStyle w:val="TableStyle2"/>
              <w:jc w:val="center"/>
              <w:rPr>
                <w:rFonts w:ascii="Times New Roman" w:hAnsi="Times New Roman" w:cs="Times New Roman"/>
                <w:sz w:val="24"/>
                <w:szCs w:val="24"/>
              </w:rPr>
            </w:pPr>
            <w:hyperlink r:id="rId22" w:history="1">
              <w:r w:rsidRPr="00EF183C">
                <w:rPr>
                  <w:rStyle w:val="Hyperlink0"/>
                  <w:rFonts w:ascii="Times New Roman" w:hAnsi="Times New Roman" w:cs="Times New Roman"/>
                  <w:sz w:val="24"/>
                  <w:szCs w:val="24"/>
                </w:rPr>
                <w:t>12689423</w:t>
              </w:r>
            </w:hyperlink>
          </w:p>
        </w:tc>
      </w:tr>
      <w:tr w:rsidR="00E8424D" w:rsidRPr="0038146F" w14:paraId="5D99F1FD" w14:textId="77777777">
        <w:tblPrEx>
          <w:shd w:val="clear" w:color="auto" w:fill="auto"/>
        </w:tblPrEx>
        <w:trPr>
          <w:trHeight w:val="295"/>
        </w:trPr>
        <w:tc>
          <w:tcPr>
            <w:tcW w:w="2338" w:type="dxa"/>
            <w:tcBorders>
              <w:top w:val="single" w:sz="2" w:space="0" w:color="000000"/>
              <w:left w:val="single" w:sz="2" w:space="0" w:color="000000"/>
              <w:bottom w:val="single" w:sz="2" w:space="0" w:color="000000"/>
              <w:right w:val="single" w:sz="6" w:space="0" w:color="000000"/>
            </w:tcBorders>
            <w:shd w:val="clear" w:color="auto" w:fill="56C1FE"/>
            <w:tcMar>
              <w:top w:w="80" w:type="dxa"/>
              <w:left w:w="80" w:type="dxa"/>
              <w:bottom w:w="80" w:type="dxa"/>
              <w:right w:w="80" w:type="dxa"/>
            </w:tcMar>
            <w:vAlign w:val="center"/>
          </w:tcPr>
          <w:p w14:paraId="23D186AD"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LPS/Sepsis</w:t>
            </w:r>
          </w:p>
        </w:tc>
        <w:tc>
          <w:tcPr>
            <w:tcW w:w="3044" w:type="dxa"/>
            <w:tcBorders>
              <w:top w:val="single" w:sz="2" w:space="0" w:color="000000"/>
              <w:left w:val="single" w:sz="6" w:space="0" w:color="000000"/>
              <w:bottom w:val="single" w:sz="2" w:space="0" w:color="000000"/>
              <w:right w:val="single" w:sz="2" w:space="0" w:color="000000"/>
            </w:tcBorders>
            <w:shd w:val="clear" w:color="auto" w:fill="56C1FE"/>
            <w:tcMar>
              <w:top w:w="80" w:type="dxa"/>
              <w:left w:w="80" w:type="dxa"/>
              <w:bottom w:w="80" w:type="dxa"/>
              <w:right w:w="80" w:type="dxa"/>
            </w:tcMar>
            <w:vAlign w:val="center"/>
          </w:tcPr>
          <w:p w14:paraId="38286879" w14:textId="77777777" w:rsidR="00E8424D" w:rsidRPr="0038146F" w:rsidRDefault="00E8424D"/>
        </w:tc>
        <w:tc>
          <w:tcPr>
            <w:tcW w:w="2062" w:type="dxa"/>
            <w:tcBorders>
              <w:top w:val="single" w:sz="2" w:space="0" w:color="000000"/>
              <w:left w:val="single" w:sz="2" w:space="0" w:color="000000"/>
              <w:bottom w:val="single" w:sz="2" w:space="0" w:color="000000"/>
              <w:right w:val="single" w:sz="2" w:space="0" w:color="000000"/>
            </w:tcBorders>
            <w:shd w:val="clear" w:color="auto" w:fill="56C1FE"/>
            <w:tcMar>
              <w:top w:w="80" w:type="dxa"/>
              <w:left w:w="80" w:type="dxa"/>
              <w:bottom w:w="80" w:type="dxa"/>
              <w:right w:w="80" w:type="dxa"/>
            </w:tcMar>
            <w:vAlign w:val="center"/>
          </w:tcPr>
          <w:p w14:paraId="013CCAB2" w14:textId="77777777" w:rsidR="00E8424D" w:rsidRPr="0038146F" w:rsidRDefault="00E8424D"/>
        </w:tc>
        <w:tc>
          <w:tcPr>
            <w:tcW w:w="1907" w:type="dxa"/>
            <w:tcBorders>
              <w:top w:val="single" w:sz="2" w:space="0" w:color="000000"/>
              <w:left w:val="single" w:sz="2" w:space="0" w:color="000000"/>
              <w:bottom w:val="single" w:sz="2" w:space="0" w:color="000000"/>
              <w:right w:val="single" w:sz="2" w:space="0" w:color="000000"/>
            </w:tcBorders>
            <w:shd w:val="clear" w:color="auto" w:fill="56C1FE"/>
            <w:tcMar>
              <w:top w:w="80" w:type="dxa"/>
              <w:left w:w="80" w:type="dxa"/>
              <w:bottom w:w="80" w:type="dxa"/>
              <w:right w:w="80" w:type="dxa"/>
            </w:tcMar>
            <w:vAlign w:val="center"/>
          </w:tcPr>
          <w:p w14:paraId="1438AEE3" w14:textId="77777777" w:rsidR="00E8424D" w:rsidRPr="0038146F" w:rsidRDefault="00E8424D"/>
        </w:tc>
      </w:tr>
      <w:tr w:rsidR="00E8424D" w:rsidRPr="0038146F" w14:paraId="545504C2" w14:textId="77777777">
        <w:tblPrEx>
          <w:shd w:val="clear" w:color="auto" w:fill="auto"/>
        </w:tblPrEx>
        <w:trPr>
          <w:trHeight w:val="487"/>
        </w:trPr>
        <w:tc>
          <w:tcPr>
            <w:tcW w:w="233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75E54CBD"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w:t>
            </w:r>
          </w:p>
        </w:tc>
        <w:tc>
          <w:tcPr>
            <w:tcW w:w="3044"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8BDDE4D"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&lt;30 or body temperature reduction by &gt;5</w:t>
            </w:r>
          </w:p>
        </w:tc>
        <w:tc>
          <w:tcPr>
            <w:tcW w:w="20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70622B1"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Rectal probe</w:t>
            </w:r>
          </w:p>
        </w:tc>
        <w:tc>
          <w:tcPr>
            <w:tcW w:w="19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16D9760" w14:textId="77777777" w:rsidR="00E8424D" w:rsidRPr="00EF183C" w:rsidRDefault="001D7EB3">
            <w:pPr>
              <w:pStyle w:val="TableStyle2"/>
              <w:jc w:val="center"/>
              <w:rPr>
                <w:rFonts w:ascii="Times New Roman" w:hAnsi="Times New Roman" w:cs="Times New Roman"/>
                <w:sz w:val="24"/>
                <w:szCs w:val="24"/>
              </w:rPr>
            </w:pPr>
            <w:hyperlink r:id="rId23" w:history="1">
              <w:r w:rsidRPr="00EF183C">
                <w:rPr>
                  <w:rStyle w:val="Hyperlink0"/>
                  <w:rFonts w:ascii="Times New Roman" w:hAnsi="Times New Roman" w:cs="Times New Roman"/>
                  <w:sz w:val="24"/>
                  <w:szCs w:val="24"/>
                </w:rPr>
                <w:t>30054760</w:t>
              </w:r>
            </w:hyperlink>
          </w:p>
        </w:tc>
      </w:tr>
      <w:tr w:rsidR="00E8424D" w:rsidRPr="0038146F" w14:paraId="75DF2E17" w14:textId="77777777">
        <w:tblPrEx>
          <w:shd w:val="clear" w:color="auto" w:fill="auto"/>
        </w:tblPrEx>
        <w:trPr>
          <w:trHeight w:val="487"/>
        </w:trPr>
        <w:tc>
          <w:tcPr>
            <w:tcW w:w="233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5CA459DF"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w:t>
            </w:r>
          </w:p>
        </w:tc>
        <w:tc>
          <w:tcPr>
            <w:tcW w:w="3044"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2818A039"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24.3</w:t>
            </w:r>
          </w:p>
        </w:tc>
        <w:tc>
          <w:tcPr>
            <w:tcW w:w="206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53C766E0"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Noncontact thermometer, perianal</w:t>
            </w:r>
          </w:p>
        </w:tc>
        <w:tc>
          <w:tcPr>
            <w:tcW w:w="19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23C273BF" w14:textId="77777777" w:rsidR="00E8424D" w:rsidRPr="00EF183C" w:rsidRDefault="001D7EB3">
            <w:pPr>
              <w:pStyle w:val="TableStyle2"/>
              <w:jc w:val="center"/>
              <w:rPr>
                <w:rFonts w:ascii="Times New Roman" w:hAnsi="Times New Roman" w:cs="Times New Roman"/>
                <w:sz w:val="24"/>
                <w:szCs w:val="24"/>
              </w:rPr>
            </w:pPr>
            <w:hyperlink r:id="rId24" w:history="1">
              <w:r w:rsidRPr="00EF183C">
                <w:rPr>
                  <w:rStyle w:val="Hyperlink0"/>
                  <w:rFonts w:ascii="Times New Roman" w:hAnsi="Times New Roman" w:cs="Times New Roman"/>
                  <w:sz w:val="24"/>
                  <w:szCs w:val="24"/>
                </w:rPr>
                <w:t>29476115</w:t>
              </w:r>
            </w:hyperlink>
          </w:p>
        </w:tc>
      </w:tr>
      <w:tr w:rsidR="00E8424D" w:rsidRPr="0038146F" w14:paraId="60F5DA58" w14:textId="77777777">
        <w:tblPrEx>
          <w:shd w:val="clear" w:color="auto" w:fill="auto"/>
        </w:tblPrEx>
        <w:trPr>
          <w:trHeight w:val="295"/>
        </w:trPr>
        <w:tc>
          <w:tcPr>
            <w:tcW w:w="2338" w:type="dxa"/>
            <w:tcBorders>
              <w:top w:val="single" w:sz="2" w:space="0" w:color="000000"/>
              <w:left w:val="single" w:sz="2" w:space="0" w:color="000000"/>
              <w:bottom w:val="single" w:sz="2" w:space="0" w:color="000000"/>
              <w:right w:val="single" w:sz="6" w:space="0" w:color="000000"/>
            </w:tcBorders>
            <w:shd w:val="clear" w:color="auto" w:fill="56C1FE"/>
            <w:tcMar>
              <w:top w:w="80" w:type="dxa"/>
              <w:left w:w="80" w:type="dxa"/>
              <w:bottom w:w="80" w:type="dxa"/>
              <w:right w:w="80" w:type="dxa"/>
            </w:tcMar>
            <w:vAlign w:val="center"/>
          </w:tcPr>
          <w:p w14:paraId="0DF8220B"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Tumor Progression</w:t>
            </w:r>
          </w:p>
        </w:tc>
        <w:tc>
          <w:tcPr>
            <w:tcW w:w="3044" w:type="dxa"/>
            <w:tcBorders>
              <w:top w:val="single" w:sz="2" w:space="0" w:color="000000"/>
              <w:left w:val="single" w:sz="6" w:space="0" w:color="000000"/>
              <w:bottom w:val="single" w:sz="2" w:space="0" w:color="000000"/>
              <w:right w:val="single" w:sz="2" w:space="0" w:color="000000"/>
            </w:tcBorders>
            <w:shd w:val="clear" w:color="auto" w:fill="56C1FE"/>
            <w:tcMar>
              <w:top w:w="80" w:type="dxa"/>
              <w:left w:w="80" w:type="dxa"/>
              <w:bottom w:w="80" w:type="dxa"/>
              <w:right w:w="80" w:type="dxa"/>
            </w:tcMar>
            <w:vAlign w:val="center"/>
          </w:tcPr>
          <w:p w14:paraId="033EB2E0" w14:textId="77777777" w:rsidR="00E8424D" w:rsidRPr="0038146F" w:rsidRDefault="00E8424D"/>
        </w:tc>
        <w:tc>
          <w:tcPr>
            <w:tcW w:w="2062" w:type="dxa"/>
            <w:tcBorders>
              <w:top w:val="single" w:sz="2" w:space="0" w:color="000000"/>
              <w:left w:val="single" w:sz="2" w:space="0" w:color="000000"/>
              <w:bottom w:val="single" w:sz="2" w:space="0" w:color="000000"/>
              <w:right w:val="single" w:sz="2" w:space="0" w:color="000000"/>
            </w:tcBorders>
            <w:shd w:val="clear" w:color="auto" w:fill="56C1FE"/>
            <w:tcMar>
              <w:top w:w="80" w:type="dxa"/>
              <w:left w:w="80" w:type="dxa"/>
              <w:bottom w:w="80" w:type="dxa"/>
              <w:right w:w="80" w:type="dxa"/>
            </w:tcMar>
            <w:vAlign w:val="center"/>
          </w:tcPr>
          <w:p w14:paraId="1760FBAB" w14:textId="77777777" w:rsidR="00E8424D" w:rsidRPr="0038146F" w:rsidRDefault="00E8424D"/>
        </w:tc>
        <w:tc>
          <w:tcPr>
            <w:tcW w:w="1907" w:type="dxa"/>
            <w:tcBorders>
              <w:top w:val="single" w:sz="2" w:space="0" w:color="000000"/>
              <w:left w:val="single" w:sz="2" w:space="0" w:color="000000"/>
              <w:bottom w:val="single" w:sz="2" w:space="0" w:color="000000"/>
              <w:right w:val="single" w:sz="2" w:space="0" w:color="000000"/>
            </w:tcBorders>
            <w:shd w:val="clear" w:color="auto" w:fill="56C1FE"/>
            <w:tcMar>
              <w:top w:w="80" w:type="dxa"/>
              <w:left w:w="80" w:type="dxa"/>
              <w:bottom w:w="80" w:type="dxa"/>
              <w:right w:w="80" w:type="dxa"/>
            </w:tcMar>
            <w:vAlign w:val="center"/>
          </w:tcPr>
          <w:p w14:paraId="7EA37CC0" w14:textId="77777777" w:rsidR="00E8424D" w:rsidRPr="0038146F" w:rsidRDefault="00E8424D"/>
        </w:tc>
      </w:tr>
      <w:tr w:rsidR="00E8424D" w:rsidRPr="0038146F" w14:paraId="0254A0CA" w14:textId="77777777">
        <w:tblPrEx>
          <w:shd w:val="clear" w:color="auto" w:fill="auto"/>
        </w:tblPrEx>
        <w:trPr>
          <w:trHeight w:val="727"/>
        </w:trPr>
        <w:tc>
          <w:tcPr>
            <w:tcW w:w="233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52C640E7"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 xml:space="preserve">Used a body weight x temperature metric </w:t>
            </w:r>
          </w:p>
        </w:tc>
        <w:tc>
          <w:tcPr>
            <w:tcW w:w="3044"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1AB4BD14"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Hypothermia used to intensify monitoring (1 °C) or euthanasia (&gt;3 °C)</w:t>
            </w:r>
          </w:p>
        </w:tc>
        <w:tc>
          <w:tcPr>
            <w:tcW w:w="206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22C675F8"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SQ Microchip</w:t>
            </w:r>
          </w:p>
        </w:tc>
        <w:tc>
          <w:tcPr>
            <w:tcW w:w="19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2A86C6F" w14:textId="77777777" w:rsidR="00E8424D" w:rsidRPr="00EF183C" w:rsidRDefault="001D7EB3">
            <w:pPr>
              <w:pStyle w:val="TableStyle2"/>
              <w:jc w:val="center"/>
              <w:rPr>
                <w:rFonts w:ascii="Times New Roman" w:hAnsi="Times New Roman" w:cs="Times New Roman"/>
                <w:sz w:val="24"/>
                <w:szCs w:val="24"/>
              </w:rPr>
            </w:pPr>
            <w:hyperlink r:id="rId25" w:history="1">
              <w:r w:rsidRPr="00EF183C">
                <w:rPr>
                  <w:rStyle w:val="Hyperlink0"/>
                  <w:rFonts w:ascii="Times New Roman" w:hAnsi="Times New Roman" w:cs="Times New Roman"/>
                  <w:sz w:val="24"/>
                  <w:szCs w:val="24"/>
                </w:rPr>
                <w:t>22776049</w:t>
              </w:r>
            </w:hyperlink>
          </w:p>
        </w:tc>
      </w:tr>
      <w:tr w:rsidR="00E8424D" w:rsidRPr="0038146F" w14:paraId="079BF04A" w14:textId="77777777">
        <w:tblPrEx>
          <w:shd w:val="clear" w:color="auto" w:fill="auto"/>
        </w:tblPrEx>
        <w:trPr>
          <w:trHeight w:val="295"/>
        </w:trPr>
        <w:tc>
          <w:tcPr>
            <w:tcW w:w="2338" w:type="dxa"/>
            <w:tcBorders>
              <w:top w:val="single" w:sz="2" w:space="0" w:color="000000"/>
              <w:left w:val="single" w:sz="2" w:space="0" w:color="000000"/>
              <w:bottom w:val="single" w:sz="2" w:space="0" w:color="000000"/>
              <w:right w:val="single" w:sz="6" w:space="0" w:color="000000"/>
            </w:tcBorders>
            <w:shd w:val="clear" w:color="auto" w:fill="56C1FE"/>
            <w:tcMar>
              <w:top w:w="80" w:type="dxa"/>
              <w:left w:w="80" w:type="dxa"/>
              <w:bottom w:w="80" w:type="dxa"/>
              <w:right w:w="80" w:type="dxa"/>
            </w:tcMar>
            <w:vAlign w:val="center"/>
          </w:tcPr>
          <w:p w14:paraId="03A91D49"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lastRenderedPageBreak/>
              <w:t>Viral</w:t>
            </w:r>
          </w:p>
        </w:tc>
        <w:tc>
          <w:tcPr>
            <w:tcW w:w="3044" w:type="dxa"/>
            <w:tcBorders>
              <w:top w:val="single" w:sz="2" w:space="0" w:color="000000"/>
              <w:left w:val="single" w:sz="6" w:space="0" w:color="000000"/>
              <w:bottom w:val="single" w:sz="2" w:space="0" w:color="000000"/>
              <w:right w:val="single" w:sz="2" w:space="0" w:color="000000"/>
            </w:tcBorders>
            <w:shd w:val="clear" w:color="auto" w:fill="56C1FE"/>
            <w:tcMar>
              <w:top w:w="80" w:type="dxa"/>
              <w:left w:w="80" w:type="dxa"/>
              <w:bottom w:w="80" w:type="dxa"/>
              <w:right w:w="80" w:type="dxa"/>
            </w:tcMar>
            <w:vAlign w:val="center"/>
          </w:tcPr>
          <w:p w14:paraId="09D519F8" w14:textId="77777777" w:rsidR="00E8424D" w:rsidRPr="0038146F" w:rsidRDefault="00E8424D"/>
        </w:tc>
        <w:tc>
          <w:tcPr>
            <w:tcW w:w="2062" w:type="dxa"/>
            <w:tcBorders>
              <w:top w:val="single" w:sz="2" w:space="0" w:color="000000"/>
              <w:left w:val="single" w:sz="2" w:space="0" w:color="000000"/>
              <w:bottom w:val="single" w:sz="2" w:space="0" w:color="000000"/>
              <w:right w:val="single" w:sz="2" w:space="0" w:color="000000"/>
            </w:tcBorders>
            <w:shd w:val="clear" w:color="auto" w:fill="56C1FE"/>
            <w:tcMar>
              <w:top w:w="80" w:type="dxa"/>
              <w:left w:w="80" w:type="dxa"/>
              <w:bottom w:w="80" w:type="dxa"/>
              <w:right w:w="80" w:type="dxa"/>
            </w:tcMar>
            <w:vAlign w:val="center"/>
          </w:tcPr>
          <w:p w14:paraId="4F51FC26" w14:textId="77777777" w:rsidR="00E8424D" w:rsidRPr="0038146F" w:rsidRDefault="00E8424D"/>
        </w:tc>
        <w:tc>
          <w:tcPr>
            <w:tcW w:w="1907" w:type="dxa"/>
            <w:tcBorders>
              <w:top w:val="single" w:sz="2" w:space="0" w:color="000000"/>
              <w:left w:val="single" w:sz="2" w:space="0" w:color="000000"/>
              <w:bottom w:val="single" w:sz="2" w:space="0" w:color="000000"/>
              <w:right w:val="single" w:sz="2" w:space="0" w:color="000000"/>
            </w:tcBorders>
            <w:shd w:val="clear" w:color="auto" w:fill="56C1FE"/>
            <w:tcMar>
              <w:top w:w="80" w:type="dxa"/>
              <w:left w:w="80" w:type="dxa"/>
              <w:bottom w:w="80" w:type="dxa"/>
              <w:right w:w="80" w:type="dxa"/>
            </w:tcMar>
            <w:vAlign w:val="center"/>
          </w:tcPr>
          <w:p w14:paraId="1743302D" w14:textId="77777777" w:rsidR="00E8424D" w:rsidRPr="0038146F" w:rsidRDefault="00E8424D"/>
        </w:tc>
      </w:tr>
      <w:tr w:rsidR="00E8424D" w:rsidRPr="0038146F" w14:paraId="08056A4B" w14:textId="77777777">
        <w:tblPrEx>
          <w:shd w:val="clear" w:color="auto" w:fill="auto"/>
        </w:tblPrEx>
        <w:trPr>
          <w:trHeight w:val="295"/>
        </w:trPr>
        <w:tc>
          <w:tcPr>
            <w:tcW w:w="233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045DF45E"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Influenza</w:t>
            </w:r>
          </w:p>
        </w:tc>
        <w:tc>
          <w:tcPr>
            <w:tcW w:w="3044"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23747771"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 32 °C</w:t>
            </w:r>
          </w:p>
        </w:tc>
        <w:tc>
          <w:tcPr>
            <w:tcW w:w="206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4616F3DB"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Rectal probe</w:t>
            </w:r>
          </w:p>
        </w:tc>
        <w:tc>
          <w:tcPr>
            <w:tcW w:w="19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7995EF2C" w14:textId="77777777" w:rsidR="00E8424D" w:rsidRPr="00EF183C" w:rsidRDefault="001D7EB3">
            <w:pPr>
              <w:pStyle w:val="TableStyle2"/>
              <w:jc w:val="center"/>
              <w:rPr>
                <w:rFonts w:ascii="Times New Roman" w:hAnsi="Times New Roman" w:cs="Times New Roman"/>
                <w:sz w:val="24"/>
                <w:szCs w:val="24"/>
              </w:rPr>
            </w:pPr>
            <w:hyperlink r:id="rId26" w:history="1">
              <w:r w:rsidRPr="00EF183C">
                <w:rPr>
                  <w:rStyle w:val="Hyperlink0"/>
                  <w:rFonts w:ascii="Times New Roman" w:hAnsi="Times New Roman" w:cs="Times New Roman"/>
                  <w:sz w:val="24"/>
                  <w:szCs w:val="24"/>
                </w:rPr>
                <w:t>9150492</w:t>
              </w:r>
            </w:hyperlink>
          </w:p>
        </w:tc>
      </w:tr>
    </w:tbl>
    <w:p w14:paraId="52CB63BC" w14:textId="77777777" w:rsidR="00E8424D" w:rsidRPr="00EF183C" w:rsidRDefault="00E8424D">
      <w:pPr>
        <w:pStyle w:val="Body"/>
        <w:rPr>
          <w:rFonts w:ascii="Times New Roman" w:hAnsi="Times New Roman" w:cs="Times New Roman"/>
        </w:rPr>
      </w:pPr>
    </w:p>
    <w:p w14:paraId="5FBE0EBE" w14:textId="77777777" w:rsidR="00E8424D" w:rsidRPr="00EF183C" w:rsidRDefault="00E8424D">
      <w:pPr>
        <w:pStyle w:val="Body"/>
        <w:jc w:val="center"/>
        <w:rPr>
          <w:rFonts w:ascii="Times New Roman" w:hAnsi="Times New Roman" w:cs="Times New Roman"/>
          <w:b/>
          <w:bCs/>
        </w:rPr>
      </w:pPr>
    </w:p>
    <w:p w14:paraId="19487AFF" w14:textId="5FD53908" w:rsidR="00E8424D" w:rsidRPr="00EF183C" w:rsidRDefault="00002C4A" w:rsidP="00EF183C">
      <w:pPr>
        <w:pStyle w:val="Body"/>
        <w:rPr>
          <w:rFonts w:ascii="Times New Roman" w:hAnsi="Times New Roman" w:cs="Times New Roman"/>
          <w:b/>
          <w:bCs/>
        </w:rPr>
      </w:pPr>
      <w:r>
        <w:rPr>
          <w:rFonts w:ascii="Times New Roman" w:hAnsi="Times New Roman" w:cs="Times New Roman"/>
          <w:b/>
          <w:bCs/>
        </w:rPr>
        <w:t xml:space="preserve">V. </w:t>
      </w:r>
      <w:r w:rsidRPr="00EF183C">
        <w:rPr>
          <w:rFonts w:ascii="Times New Roman" w:hAnsi="Times New Roman" w:cs="Times New Roman"/>
          <w:b/>
          <w:bCs/>
        </w:rPr>
        <w:t>References</w:t>
      </w:r>
    </w:p>
    <w:p w14:paraId="0CA358AA" w14:textId="77777777" w:rsidR="00E8424D" w:rsidRPr="00EF183C" w:rsidRDefault="001D7EB3" w:rsidP="00EF183C">
      <w:pPr>
        <w:pStyle w:val="Body"/>
        <w:numPr>
          <w:ilvl w:val="0"/>
          <w:numId w:val="4"/>
        </w:numPr>
        <w:rPr>
          <w:rFonts w:ascii="Times New Roman" w:hAnsi="Times New Roman" w:cs="Times New Roman"/>
        </w:rPr>
      </w:pPr>
      <w:r w:rsidRPr="00EF183C">
        <w:rPr>
          <w:rFonts w:ascii="Times New Roman" w:hAnsi="Times New Roman" w:cs="Times New Roman"/>
        </w:rPr>
        <w:t xml:space="preserve">AAALAC FAQs. (n.d.). AAALAC. Retrieved May 26, 2020, from </w:t>
      </w:r>
      <w:hyperlink r:id="rId27" w:anchor="B3" w:history="1">
        <w:r w:rsidRPr="00EF183C">
          <w:rPr>
            <w:rStyle w:val="Hyperlink0"/>
            <w:rFonts w:ascii="Times New Roman" w:hAnsi="Times New Roman" w:cs="Times New Roman"/>
          </w:rPr>
          <w:t>https://www.aaalac.org/accreditation-program/faqs/#B3</w:t>
        </w:r>
      </w:hyperlink>
      <w:r w:rsidRPr="00EF183C">
        <w:rPr>
          <w:rFonts w:ascii="Times New Roman" w:hAnsi="Times New Roman" w:cs="Times New Roman"/>
        </w:rPr>
        <w:t xml:space="preserve"> </w:t>
      </w:r>
    </w:p>
    <w:p w14:paraId="718D24EE" w14:textId="77777777" w:rsidR="00E8424D" w:rsidRPr="00EF183C" w:rsidRDefault="00E8424D">
      <w:pPr>
        <w:pStyle w:val="Body"/>
        <w:rPr>
          <w:rFonts w:ascii="Times New Roman" w:hAnsi="Times New Roman" w:cs="Times New Roman"/>
        </w:rPr>
      </w:pPr>
    </w:p>
    <w:p w14:paraId="4ECEC0FC" w14:textId="77777777" w:rsidR="00E8424D" w:rsidRPr="00EF183C" w:rsidRDefault="001D7EB3" w:rsidP="00EF183C">
      <w:pPr>
        <w:pStyle w:val="Body"/>
        <w:numPr>
          <w:ilvl w:val="0"/>
          <w:numId w:val="4"/>
        </w:numPr>
        <w:rPr>
          <w:rFonts w:ascii="Times New Roman" w:hAnsi="Times New Roman" w:cs="Times New Roman"/>
        </w:rPr>
      </w:pPr>
      <w:r w:rsidRPr="00EF183C">
        <w:rPr>
          <w:rFonts w:ascii="Times New Roman" w:hAnsi="Times New Roman" w:cs="Times New Roman"/>
        </w:rPr>
        <w:t>Adamson, TW; et al. 2013. Hypothermic Endpoint for an Intranasal Invasive Pulmonary Aspergillosis Mouse Model. Comp Med, 63(6):477-481.</w:t>
      </w:r>
    </w:p>
    <w:p w14:paraId="6CCE6D91" w14:textId="77777777" w:rsidR="00E8424D" w:rsidRPr="00EF183C" w:rsidRDefault="00E8424D">
      <w:pPr>
        <w:pStyle w:val="Body"/>
        <w:rPr>
          <w:rFonts w:ascii="Times New Roman" w:hAnsi="Times New Roman" w:cs="Times New Roman"/>
        </w:rPr>
      </w:pPr>
    </w:p>
    <w:p w14:paraId="464E54B4" w14:textId="77777777" w:rsidR="00E8424D" w:rsidRPr="00EF183C" w:rsidRDefault="001D7EB3" w:rsidP="00EF183C">
      <w:pPr>
        <w:pStyle w:val="Body"/>
        <w:numPr>
          <w:ilvl w:val="0"/>
          <w:numId w:val="4"/>
        </w:numPr>
        <w:rPr>
          <w:rFonts w:ascii="Times New Roman" w:hAnsi="Times New Roman" w:cs="Times New Roman"/>
        </w:rPr>
      </w:pPr>
      <w:r w:rsidRPr="00EF183C">
        <w:rPr>
          <w:rFonts w:ascii="Times New Roman" w:hAnsi="Times New Roman" w:cs="Times New Roman"/>
        </w:rPr>
        <w:t xml:space="preserve">Beamer, GL; et al. 2008. Peripheral Blood Gamma Interferon Release Assays Predict Lung </w:t>
      </w:r>
    </w:p>
    <w:p w14:paraId="46144F23" w14:textId="77777777" w:rsidR="00E8424D" w:rsidRPr="00EF183C" w:rsidRDefault="001D7EB3" w:rsidP="00EF183C">
      <w:pPr>
        <w:pStyle w:val="Body"/>
        <w:numPr>
          <w:ilvl w:val="0"/>
          <w:numId w:val="4"/>
        </w:numPr>
        <w:rPr>
          <w:rFonts w:ascii="Times New Roman" w:hAnsi="Times New Roman" w:cs="Times New Roman"/>
        </w:rPr>
      </w:pPr>
      <w:r w:rsidRPr="00EF183C">
        <w:rPr>
          <w:rFonts w:ascii="Times New Roman" w:hAnsi="Times New Roman" w:cs="Times New Roman"/>
        </w:rPr>
        <w:t>Responses and Mycobacterium tuberculosis Disease Outcome in Mice. Clin Vaccine Immunol, 15(3):474-483.</w:t>
      </w:r>
    </w:p>
    <w:p w14:paraId="142CD213" w14:textId="77777777" w:rsidR="00E8424D" w:rsidRPr="00EF183C" w:rsidRDefault="00E8424D">
      <w:pPr>
        <w:pStyle w:val="Body"/>
        <w:rPr>
          <w:rFonts w:ascii="Times New Roman" w:hAnsi="Times New Roman" w:cs="Times New Roman"/>
        </w:rPr>
      </w:pPr>
    </w:p>
    <w:p w14:paraId="1683ED02" w14:textId="77777777" w:rsidR="00E8424D" w:rsidRPr="00EF183C" w:rsidRDefault="001D7EB3" w:rsidP="00EF183C">
      <w:pPr>
        <w:pStyle w:val="Body"/>
        <w:numPr>
          <w:ilvl w:val="0"/>
          <w:numId w:val="4"/>
        </w:numPr>
        <w:rPr>
          <w:rFonts w:ascii="Times New Roman" w:hAnsi="Times New Roman" w:cs="Times New Roman"/>
        </w:rPr>
      </w:pPr>
      <w:r w:rsidRPr="00EF183C">
        <w:rPr>
          <w:rFonts w:ascii="Times New Roman" w:hAnsi="Times New Roman" w:cs="Times New Roman"/>
        </w:rPr>
        <w:t xml:space="preserve">Food and Drug Administration. 2020. </w:t>
      </w:r>
      <w:r w:rsidRPr="00EF183C">
        <w:rPr>
          <w:rFonts w:ascii="Times New Roman" w:hAnsi="Times New Roman" w:cs="Times New Roman"/>
          <w:i/>
          <w:iCs/>
        </w:rPr>
        <w:t>Biomarkers and Surrogate Endpoints in Clinical Studies to Support Effectiveness of New Animal Drugs. Guidance for Industry Draft Guidance</w:t>
      </w:r>
      <w:r w:rsidRPr="00EF183C">
        <w:rPr>
          <w:rFonts w:ascii="Times New Roman" w:hAnsi="Times New Roman" w:cs="Times New Roman"/>
        </w:rPr>
        <w:t xml:space="preserve">. </w:t>
      </w:r>
    </w:p>
    <w:p w14:paraId="5E2831DA" w14:textId="77777777" w:rsidR="00E8424D" w:rsidRPr="00EF183C" w:rsidRDefault="00E8424D">
      <w:pPr>
        <w:pStyle w:val="Body"/>
        <w:rPr>
          <w:rFonts w:ascii="Times New Roman" w:hAnsi="Times New Roman" w:cs="Times New Roman"/>
        </w:rPr>
      </w:pPr>
    </w:p>
    <w:p w14:paraId="470D6704" w14:textId="77777777" w:rsidR="00E8424D" w:rsidRPr="00EF183C" w:rsidRDefault="001D7EB3" w:rsidP="00EF183C">
      <w:pPr>
        <w:pStyle w:val="Body"/>
        <w:numPr>
          <w:ilvl w:val="0"/>
          <w:numId w:val="4"/>
        </w:numPr>
        <w:rPr>
          <w:rFonts w:ascii="Times New Roman" w:hAnsi="Times New Roman" w:cs="Times New Roman"/>
        </w:rPr>
      </w:pPr>
      <w:r w:rsidRPr="00EF183C">
        <w:rPr>
          <w:rFonts w:ascii="Times New Roman" w:hAnsi="Times New Roman" w:cs="Times New Roman"/>
        </w:rPr>
        <w:t xml:space="preserve">Foltz, CJ; </w:t>
      </w:r>
      <w:r w:rsidRPr="00EF183C">
        <w:rPr>
          <w:rFonts w:ascii="Times New Roman" w:hAnsi="Times New Roman" w:cs="Times New Roman"/>
          <w:lang w:val="de-DE"/>
        </w:rPr>
        <w:t>Ullman-</w:t>
      </w:r>
      <w:proofErr w:type="spellStart"/>
      <w:r w:rsidRPr="00EF183C">
        <w:rPr>
          <w:rFonts w:ascii="Times New Roman" w:hAnsi="Times New Roman" w:cs="Times New Roman"/>
          <w:lang w:val="de-DE"/>
        </w:rPr>
        <w:t>Culler</w:t>
      </w:r>
      <w:proofErr w:type="spellEnd"/>
      <w:r w:rsidRPr="00EF183C">
        <w:rPr>
          <w:rFonts w:ascii="Times New Roman" w:hAnsi="Times New Roman" w:cs="Times New Roman"/>
          <w:lang w:val="fr-FR"/>
        </w:rPr>
        <w:t>é</w:t>
      </w:r>
      <w:r w:rsidRPr="00EF183C">
        <w:rPr>
          <w:rFonts w:ascii="Times New Roman" w:hAnsi="Times New Roman" w:cs="Times New Roman"/>
        </w:rPr>
        <w:t xml:space="preserve">, MH. 1999. Guidelines for Assessing the Health and Condition of Mice. Lab </w:t>
      </w:r>
      <w:proofErr w:type="spellStart"/>
      <w:r w:rsidRPr="00EF183C">
        <w:rPr>
          <w:rFonts w:ascii="Times New Roman" w:hAnsi="Times New Roman" w:cs="Times New Roman"/>
        </w:rPr>
        <w:t>Anim</w:t>
      </w:r>
      <w:proofErr w:type="spellEnd"/>
      <w:r w:rsidRPr="00EF183C">
        <w:rPr>
          <w:rFonts w:ascii="Times New Roman" w:hAnsi="Times New Roman" w:cs="Times New Roman"/>
        </w:rPr>
        <w:t xml:space="preserve"> (NY), 28(4):28-32.</w:t>
      </w:r>
    </w:p>
    <w:p w14:paraId="6835D0BA" w14:textId="77777777" w:rsidR="00E8424D" w:rsidRPr="00EF183C" w:rsidRDefault="00E8424D">
      <w:pPr>
        <w:pStyle w:val="Body"/>
        <w:rPr>
          <w:rFonts w:ascii="Times New Roman" w:hAnsi="Times New Roman" w:cs="Times New Roman"/>
        </w:rPr>
      </w:pPr>
    </w:p>
    <w:p w14:paraId="73956C53" w14:textId="77777777" w:rsidR="00E8424D" w:rsidRPr="00EF183C" w:rsidRDefault="001D7EB3" w:rsidP="00EF183C">
      <w:pPr>
        <w:pStyle w:val="Body"/>
        <w:numPr>
          <w:ilvl w:val="0"/>
          <w:numId w:val="4"/>
        </w:numPr>
        <w:rPr>
          <w:rFonts w:ascii="Times New Roman" w:hAnsi="Times New Roman" w:cs="Times New Roman"/>
        </w:rPr>
      </w:pPr>
      <w:r w:rsidRPr="00EF183C">
        <w:rPr>
          <w:rFonts w:ascii="Times New Roman" w:hAnsi="Times New Roman" w:cs="Times New Roman"/>
        </w:rPr>
        <w:t xml:space="preserve">Franco, NH; et al. 2012. How </w:t>
      </w:r>
      <w:r w:rsidRPr="00EF183C">
        <w:rPr>
          <w:rFonts w:ascii="Times New Roman" w:hAnsi="Times New Roman" w:cs="Times New Roman"/>
          <w:rtl/>
        </w:rPr>
        <w:t>‘‘</w:t>
      </w:r>
      <w:r w:rsidRPr="00EF183C">
        <w:rPr>
          <w:rFonts w:ascii="Times New Roman" w:hAnsi="Times New Roman" w:cs="Times New Roman"/>
          <w:lang w:val="fr-FR"/>
        </w:rPr>
        <w:t>Humane</w:t>
      </w:r>
      <w:r w:rsidRPr="00EF183C">
        <w:rPr>
          <w:rFonts w:ascii="Times New Roman" w:hAnsi="Times New Roman" w:cs="Times New Roman"/>
          <w:rtl/>
        </w:rPr>
        <w:t xml:space="preserve">’’ </w:t>
      </w:r>
      <w:r w:rsidRPr="00EF183C">
        <w:rPr>
          <w:rFonts w:ascii="Times New Roman" w:hAnsi="Times New Roman" w:cs="Times New Roman"/>
        </w:rPr>
        <w:t xml:space="preserve">Is Your </w:t>
      </w:r>
      <w:proofErr w:type="gramStart"/>
      <w:r w:rsidRPr="00EF183C">
        <w:rPr>
          <w:rFonts w:ascii="Times New Roman" w:hAnsi="Times New Roman" w:cs="Times New Roman"/>
        </w:rPr>
        <w:t>Endpoint?—</w:t>
      </w:r>
      <w:proofErr w:type="gramEnd"/>
      <w:r w:rsidRPr="00EF183C">
        <w:rPr>
          <w:rFonts w:ascii="Times New Roman" w:hAnsi="Times New Roman" w:cs="Times New Roman"/>
        </w:rPr>
        <w:t xml:space="preserve">Refining the Science-Driven Approach for Termination of Animal Studies of Chronic Infection. </w:t>
      </w:r>
      <w:proofErr w:type="spellStart"/>
      <w:r w:rsidRPr="00EF183C">
        <w:rPr>
          <w:rFonts w:ascii="Times New Roman" w:hAnsi="Times New Roman" w:cs="Times New Roman"/>
        </w:rPr>
        <w:t>PLoS</w:t>
      </w:r>
      <w:proofErr w:type="spellEnd"/>
      <w:r w:rsidRPr="00EF183C">
        <w:rPr>
          <w:rFonts w:ascii="Times New Roman" w:hAnsi="Times New Roman" w:cs="Times New Roman"/>
        </w:rPr>
        <w:t xml:space="preserve"> </w:t>
      </w:r>
      <w:proofErr w:type="spellStart"/>
      <w:r w:rsidRPr="00EF183C">
        <w:rPr>
          <w:rFonts w:ascii="Times New Roman" w:hAnsi="Times New Roman" w:cs="Times New Roman"/>
        </w:rPr>
        <w:t>Pathog</w:t>
      </w:r>
      <w:proofErr w:type="spellEnd"/>
      <w:r w:rsidRPr="00EF183C">
        <w:rPr>
          <w:rFonts w:ascii="Times New Roman" w:hAnsi="Times New Roman" w:cs="Times New Roman"/>
        </w:rPr>
        <w:t xml:space="preserve"> 8(1) e1002399.</w:t>
      </w:r>
    </w:p>
    <w:p w14:paraId="4669968D" w14:textId="77777777" w:rsidR="00E8424D" w:rsidRPr="00EF183C" w:rsidRDefault="00E8424D">
      <w:pPr>
        <w:pStyle w:val="Body"/>
        <w:rPr>
          <w:rFonts w:ascii="Times New Roman" w:hAnsi="Times New Roman" w:cs="Times New Roman"/>
        </w:rPr>
      </w:pPr>
    </w:p>
    <w:p w14:paraId="5BC1765D" w14:textId="77777777" w:rsidR="00E8424D" w:rsidRPr="00EF183C" w:rsidRDefault="001D7EB3" w:rsidP="00EF183C">
      <w:pPr>
        <w:pStyle w:val="Body"/>
        <w:numPr>
          <w:ilvl w:val="0"/>
          <w:numId w:val="4"/>
        </w:numPr>
        <w:rPr>
          <w:rFonts w:ascii="Times New Roman" w:hAnsi="Times New Roman" w:cs="Times New Roman"/>
        </w:rPr>
      </w:pPr>
      <w:r w:rsidRPr="00EF183C">
        <w:rPr>
          <w:rFonts w:ascii="Times New Roman" w:hAnsi="Times New Roman" w:cs="Times New Roman"/>
        </w:rPr>
        <w:t xml:space="preserve">Gavin, HE; Satchell, KJF. 2017. Surface hypothermia predicts murine mortality in the intragastric Vibrio vulnificus infection model. BMC </w:t>
      </w:r>
      <w:proofErr w:type="spellStart"/>
      <w:r w:rsidRPr="00EF183C">
        <w:rPr>
          <w:rFonts w:ascii="Times New Roman" w:hAnsi="Times New Roman" w:cs="Times New Roman"/>
        </w:rPr>
        <w:t>Microbiol</w:t>
      </w:r>
      <w:proofErr w:type="spellEnd"/>
      <w:r w:rsidRPr="00EF183C">
        <w:rPr>
          <w:rFonts w:ascii="Times New Roman" w:hAnsi="Times New Roman" w:cs="Times New Roman"/>
        </w:rPr>
        <w:t>, 17(1):136.</w:t>
      </w:r>
    </w:p>
    <w:p w14:paraId="27E6B124" w14:textId="77777777" w:rsidR="00E8424D" w:rsidRPr="00EF183C" w:rsidRDefault="00E8424D">
      <w:pPr>
        <w:pStyle w:val="Body"/>
        <w:rPr>
          <w:rFonts w:ascii="Times New Roman" w:hAnsi="Times New Roman" w:cs="Times New Roman"/>
        </w:rPr>
      </w:pPr>
    </w:p>
    <w:p w14:paraId="5826865F" w14:textId="77777777" w:rsidR="00E8424D" w:rsidRPr="00EF183C" w:rsidRDefault="001D7EB3" w:rsidP="00EF183C">
      <w:pPr>
        <w:pStyle w:val="Body"/>
        <w:numPr>
          <w:ilvl w:val="0"/>
          <w:numId w:val="4"/>
        </w:numPr>
        <w:rPr>
          <w:rFonts w:ascii="Times New Roman" w:hAnsi="Times New Roman" w:cs="Times New Roman"/>
        </w:rPr>
      </w:pPr>
      <w:proofErr w:type="spellStart"/>
      <w:r w:rsidRPr="00EF183C">
        <w:rPr>
          <w:rFonts w:ascii="Times New Roman" w:hAnsi="Times New Roman" w:cs="Times New Roman"/>
        </w:rPr>
        <w:t>Kort</w:t>
      </w:r>
      <w:proofErr w:type="spellEnd"/>
      <w:r w:rsidRPr="00EF183C">
        <w:rPr>
          <w:rFonts w:ascii="Times New Roman" w:hAnsi="Times New Roman" w:cs="Times New Roman"/>
        </w:rPr>
        <w:t xml:space="preserve">, WJ; et al. 1998. A microchip implant system as a method to determine body temperature of terminally ill rats and mice. Lab </w:t>
      </w:r>
      <w:proofErr w:type="spellStart"/>
      <w:r w:rsidRPr="00EF183C">
        <w:rPr>
          <w:rFonts w:ascii="Times New Roman" w:hAnsi="Times New Roman" w:cs="Times New Roman"/>
        </w:rPr>
        <w:t>Anim</w:t>
      </w:r>
      <w:proofErr w:type="spellEnd"/>
      <w:r w:rsidRPr="00EF183C">
        <w:rPr>
          <w:rFonts w:ascii="Times New Roman" w:hAnsi="Times New Roman" w:cs="Times New Roman"/>
        </w:rPr>
        <w:t>, 32(3):260-269.</w:t>
      </w:r>
    </w:p>
    <w:p w14:paraId="58FDD19D" w14:textId="77777777" w:rsidR="00E8424D" w:rsidRPr="00EF183C" w:rsidRDefault="00E8424D">
      <w:pPr>
        <w:pStyle w:val="Body"/>
        <w:rPr>
          <w:rFonts w:ascii="Times New Roman" w:hAnsi="Times New Roman" w:cs="Times New Roman"/>
        </w:rPr>
      </w:pPr>
    </w:p>
    <w:p w14:paraId="1C5F4B7B" w14:textId="77777777" w:rsidR="00E8424D" w:rsidRPr="00EF183C" w:rsidRDefault="001D7EB3" w:rsidP="00EF183C">
      <w:pPr>
        <w:pStyle w:val="Body"/>
        <w:numPr>
          <w:ilvl w:val="0"/>
          <w:numId w:val="4"/>
        </w:numPr>
        <w:rPr>
          <w:rFonts w:ascii="Times New Roman" w:hAnsi="Times New Roman" w:cs="Times New Roman"/>
        </w:rPr>
      </w:pPr>
      <w:proofErr w:type="spellStart"/>
      <w:r w:rsidRPr="00EF183C">
        <w:rPr>
          <w:rFonts w:ascii="Times New Roman" w:hAnsi="Times New Roman" w:cs="Times New Roman"/>
        </w:rPr>
        <w:t>Littin</w:t>
      </w:r>
      <w:proofErr w:type="spellEnd"/>
      <w:r w:rsidRPr="00EF183C">
        <w:rPr>
          <w:rFonts w:ascii="Times New Roman" w:hAnsi="Times New Roman" w:cs="Times New Roman"/>
        </w:rPr>
        <w:t xml:space="preserve">, K; et al. 2008. Towards humane end points: </w:t>
      </w:r>
      <w:proofErr w:type="spellStart"/>
      <w:r w:rsidRPr="00EF183C">
        <w:rPr>
          <w:rFonts w:ascii="Times New Roman" w:hAnsi="Times New Roman" w:cs="Times New Roman"/>
        </w:rPr>
        <w:t>behavioural</w:t>
      </w:r>
      <w:proofErr w:type="spellEnd"/>
      <w:r w:rsidRPr="00EF183C">
        <w:rPr>
          <w:rFonts w:ascii="Times New Roman" w:hAnsi="Times New Roman" w:cs="Times New Roman"/>
        </w:rPr>
        <w:t xml:space="preserve"> changes precede clinical signs of disease in a Huntington</w:t>
      </w:r>
      <w:r w:rsidRPr="00EF183C">
        <w:rPr>
          <w:rFonts w:ascii="Times New Roman" w:hAnsi="Times New Roman" w:cs="Times New Roman"/>
          <w:rtl/>
        </w:rPr>
        <w:t>’</w:t>
      </w:r>
      <w:r w:rsidRPr="00EF183C">
        <w:rPr>
          <w:rFonts w:ascii="Times New Roman" w:hAnsi="Times New Roman" w:cs="Times New Roman"/>
        </w:rPr>
        <w:t>s disease model. Proc R Soc B, 275:1865-1874.</w:t>
      </w:r>
    </w:p>
    <w:p w14:paraId="0EDF6030" w14:textId="77777777" w:rsidR="00E8424D" w:rsidRPr="00EF183C" w:rsidRDefault="00E8424D">
      <w:pPr>
        <w:pStyle w:val="Body"/>
        <w:rPr>
          <w:rFonts w:ascii="Times New Roman" w:hAnsi="Times New Roman" w:cs="Times New Roman"/>
        </w:rPr>
      </w:pPr>
    </w:p>
    <w:p w14:paraId="2A79D540" w14:textId="77777777" w:rsidR="00E8424D" w:rsidRPr="00EF183C" w:rsidRDefault="001D7EB3" w:rsidP="00EF183C">
      <w:pPr>
        <w:pStyle w:val="Body"/>
        <w:numPr>
          <w:ilvl w:val="0"/>
          <w:numId w:val="4"/>
        </w:numPr>
        <w:rPr>
          <w:rFonts w:ascii="Times New Roman" w:hAnsi="Times New Roman" w:cs="Times New Roman"/>
        </w:rPr>
      </w:pPr>
      <w:r w:rsidRPr="00EF183C">
        <w:rPr>
          <w:rFonts w:ascii="Times New Roman" w:hAnsi="Times New Roman" w:cs="Times New Roman"/>
        </w:rPr>
        <w:t>Mai, SHC; et al. 2018. Body temperature and mouse scoring systems as surrogate markers of death in cecal ligation and puncture sepsis. Intensive Care Med Exp, 6(1):20</w:t>
      </w:r>
    </w:p>
    <w:p w14:paraId="1EF6BA7D" w14:textId="77777777" w:rsidR="00E8424D" w:rsidRPr="00EF183C" w:rsidRDefault="00E8424D">
      <w:pPr>
        <w:pStyle w:val="Body"/>
        <w:rPr>
          <w:rFonts w:ascii="Times New Roman" w:hAnsi="Times New Roman" w:cs="Times New Roman"/>
        </w:rPr>
      </w:pPr>
    </w:p>
    <w:p w14:paraId="7A5D16C3" w14:textId="77777777" w:rsidR="00E8424D" w:rsidRPr="00EF183C" w:rsidRDefault="001D7EB3" w:rsidP="00EF183C">
      <w:pPr>
        <w:pStyle w:val="Body"/>
        <w:numPr>
          <w:ilvl w:val="0"/>
          <w:numId w:val="4"/>
        </w:numPr>
        <w:rPr>
          <w:rFonts w:ascii="Times New Roman" w:hAnsi="Times New Roman" w:cs="Times New Roman"/>
        </w:rPr>
      </w:pPr>
      <w:r w:rsidRPr="00EF183C">
        <w:rPr>
          <w:rFonts w:ascii="Times New Roman" w:hAnsi="Times New Roman" w:cs="Times New Roman"/>
        </w:rPr>
        <w:lastRenderedPageBreak/>
        <w:t>Mei, J; et al. 2018. Body temperature measurement in mice during acute illness: implantable temperature transponder versus surface infrared thermometry. Sci Rep, 8(1):3526.</w:t>
      </w:r>
    </w:p>
    <w:p w14:paraId="603F305F" w14:textId="77777777" w:rsidR="00E8424D" w:rsidRPr="00EF183C" w:rsidRDefault="00E8424D">
      <w:pPr>
        <w:pStyle w:val="Body"/>
        <w:rPr>
          <w:rFonts w:ascii="Times New Roman" w:hAnsi="Times New Roman" w:cs="Times New Roman"/>
        </w:rPr>
      </w:pPr>
    </w:p>
    <w:p w14:paraId="732F9E53" w14:textId="77777777" w:rsidR="00E8424D" w:rsidRPr="00EF183C" w:rsidRDefault="001D7EB3" w:rsidP="00EF183C">
      <w:pPr>
        <w:pStyle w:val="Body"/>
        <w:numPr>
          <w:ilvl w:val="0"/>
          <w:numId w:val="4"/>
        </w:numPr>
        <w:rPr>
          <w:rFonts w:ascii="Times New Roman" w:hAnsi="Times New Roman" w:cs="Times New Roman"/>
        </w:rPr>
      </w:pPr>
      <w:r w:rsidRPr="00EF183C">
        <w:rPr>
          <w:rFonts w:ascii="Times New Roman" w:hAnsi="Times New Roman" w:cs="Times New Roman"/>
        </w:rPr>
        <w:t xml:space="preserve">National Research Council. 2011. </w:t>
      </w:r>
      <w:r w:rsidRPr="00EF183C">
        <w:rPr>
          <w:rFonts w:ascii="Times New Roman" w:hAnsi="Times New Roman" w:cs="Times New Roman"/>
          <w:i/>
          <w:iCs/>
        </w:rPr>
        <w:t>Guide for the Care and Use of Laboratory Animals</w:t>
      </w:r>
      <w:r w:rsidRPr="00EF183C">
        <w:rPr>
          <w:rFonts w:ascii="Times New Roman" w:hAnsi="Times New Roman" w:cs="Times New Roman"/>
        </w:rPr>
        <w:t>: Eighth Edition. Washington, DC: The National Academies Press.</w:t>
      </w:r>
    </w:p>
    <w:p w14:paraId="04D9D2FD" w14:textId="77777777" w:rsidR="00E8424D" w:rsidRPr="00EF183C" w:rsidRDefault="00E8424D">
      <w:pPr>
        <w:pStyle w:val="Body"/>
        <w:rPr>
          <w:rFonts w:ascii="Times New Roman" w:hAnsi="Times New Roman" w:cs="Times New Roman"/>
        </w:rPr>
      </w:pPr>
    </w:p>
    <w:p w14:paraId="337FD8B3" w14:textId="77777777" w:rsidR="00E8424D" w:rsidRPr="00EF183C" w:rsidRDefault="001D7EB3" w:rsidP="00EF183C">
      <w:pPr>
        <w:pStyle w:val="Body"/>
        <w:numPr>
          <w:ilvl w:val="0"/>
          <w:numId w:val="4"/>
        </w:numPr>
        <w:rPr>
          <w:rFonts w:ascii="Times New Roman" w:hAnsi="Times New Roman" w:cs="Times New Roman"/>
        </w:rPr>
      </w:pPr>
      <w:r w:rsidRPr="00EF183C">
        <w:rPr>
          <w:rFonts w:ascii="Times New Roman" w:hAnsi="Times New Roman" w:cs="Times New Roman"/>
        </w:rPr>
        <w:t xml:space="preserve">National Research Council. 2009. </w:t>
      </w:r>
      <w:r w:rsidRPr="00EF183C">
        <w:rPr>
          <w:rFonts w:ascii="Times New Roman" w:hAnsi="Times New Roman" w:cs="Times New Roman"/>
          <w:i/>
          <w:iCs/>
        </w:rPr>
        <w:t>Recognition and Alleviation of Pain in Laboratory Animals</w:t>
      </w:r>
      <w:r w:rsidRPr="00EF183C">
        <w:rPr>
          <w:rFonts w:ascii="Times New Roman" w:hAnsi="Times New Roman" w:cs="Times New Roman"/>
        </w:rPr>
        <w:t>. Washington, DC: National Academies Press.</w:t>
      </w:r>
    </w:p>
    <w:p w14:paraId="4AA92BFC" w14:textId="77777777" w:rsidR="00E8424D" w:rsidRPr="00EF183C" w:rsidRDefault="00E8424D">
      <w:pPr>
        <w:pStyle w:val="Body"/>
        <w:rPr>
          <w:rFonts w:ascii="Times New Roman" w:hAnsi="Times New Roman" w:cs="Times New Roman"/>
        </w:rPr>
      </w:pPr>
    </w:p>
    <w:p w14:paraId="57093E09" w14:textId="77777777" w:rsidR="00E8424D" w:rsidRPr="00EF183C" w:rsidRDefault="001D7EB3" w:rsidP="00EF183C">
      <w:pPr>
        <w:pStyle w:val="Body"/>
        <w:numPr>
          <w:ilvl w:val="0"/>
          <w:numId w:val="4"/>
        </w:numPr>
        <w:rPr>
          <w:rFonts w:ascii="Times New Roman" w:hAnsi="Times New Roman" w:cs="Times New Roman"/>
          <w:b/>
          <w:bCs/>
        </w:rPr>
      </w:pPr>
      <w:proofErr w:type="spellStart"/>
      <w:r w:rsidRPr="00EF183C">
        <w:rPr>
          <w:rFonts w:ascii="Times New Roman" w:hAnsi="Times New Roman" w:cs="Times New Roman"/>
        </w:rPr>
        <w:t>Nemzek</w:t>
      </w:r>
      <w:proofErr w:type="spellEnd"/>
      <w:r w:rsidRPr="00EF183C">
        <w:rPr>
          <w:rFonts w:ascii="Times New Roman" w:hAnsi="Times New Roman" w:cs="Times New Roman"/>
        </w:rPr>
        <w:t xml:space="preserve"> et al. 2004. Humane Endpoints in Shock Research. Shock 21(1):17-25.</w:t>
      </w:r>
    </w:p>
    <w:p w14:paraId="189DB0CB" w14:textId="77777777" w:rsidR="00E8424D" w:rsidRPr="00EF183C" w:rsidRDefault="00E8424D">
      <w:pPr>
        <w:pStyle w:val="Body"/>
        <w:rPr>
          <w:rFonts w:ascii="Times New Roman" w:hAnsi="Times New Roman" w:cs="Times New Roman"/>
        </w:rPr>
      </w:pPr>
    </w:p>
    <w:p w14:paraId="74942732" w14:textId="77777777" w:rsidR="00E8424D" w:rsidRPr="00EF183C" w:rsidRDefault="001D7EB3" w:rsidP="00EF183C">
      <w:pPr>
        <w:pStyle w:val="Body"/>
        <w:numPr>
          <w:ilvl w:val="0"/>
          <w:numId w:val="4"/>
        </w:numPr>
        <w:rPr>
          <w:rFonts w:ascii="Times New Roman" w:hAnsi="Times New Roman" w:cs="Times New Roman"/>
        </w:rPr>
      </w:pPr>
      <w:r w:rsidRPr="00EF183C">
        <w:rPr>
          <w:rFonts w:ascii="Times New Roman" w:hAnsi="Times New Roman" w:cs="Times New Roman"/>
        </w:rPr>
        <w:t xml:space="preserve">Ray, MA; et al. 2010. Identification of Markers for Imminent Death in Mice used in Longevity and Aging Research. J Am Assoc Lab </w:t>
      </w:r>
      <w:proofErr w:type="spellStart"/>
      <w:r w:rsidRPr="00EF183C">
        <w:rPr>
          <w:rFonts w:ascii="Times New Roman" w:hAnsi="Times New Roman" w:cs="Times New Roman"/>
        </w:rPr>
        <w:t>Anim</w:t>
      </w:r>
      <w:proofErr w:type="spellEnd"/>
      <w:r w:rsidRPr="00EF183C">
        <w:rPr>
          <w:rFonts w:ascii="Times New Roman" w:hAnsi="Times New Roman" w:cs="Times New Roman"/>
        </w:rPr>
        <w:t xml:space="preserve"> Sci, 49(3):282-288.</w:t>
      </w:r>
    </w:p>
    <w:p w14:paraId="72B0A5FE" w14:textId="77777777" w:rsidR="00E8424D" w:rsidRPr="00EF183C" w:rsidRDefault="00E8424D">
      <w:pPr>
        <w:pStyle w:val="Body"/>
        <w:rPr>
          <w:rFonts w:ascii="Times New Roman" w:hAnsi="Times New Roman" w:cs="Times New Roman"/>
        </w:rPr>
      </w:pPr>
    </w:p>
    <w:p w14:paraId="7DDCF2C9" w14:textId="77777777" w:rsidR="00E8424D" w:rsidRPr="00EF183C" w:rsidRDefault="001D7EB3" w:rsidP="00EF183C">
      <w:pPr>
        <w:pStyle w:val="Body"/>
        <w:numPr>
          <w:ilvl w:val="0"/>
          <w:numId w:val="4"/>
        </w:numPr>
        <w:rPr>
          <w:rFonts w:ascii="Times New Roman" w:hAnsi="Times New Roman" w:cs="Times New Roman"/>
        </w:rPr>
      </w:pPr>
      <w:proofErr w:type="spellStart"/>
      <w:r w:rsidRPr="00EF183C">
        <w:rPr>
          <w:rFonts w:ascii="Times New Roman" w:hAnsi="Times New Roman" w:cs="Times New Roman"/>
        </w:rPr>
        <w:t>Schaecher</w:t>
      </w:r>
      <w:proofErr w:type="spellEnd"/>
      <w:r w:rsidRPr="00EF183C">
        <w:rPr>
          <w:rFonts w:ascii="Times New Roman" w:hAnsi="Times New Roman" w:cs="Times New Roman"/>
        </w:rPr>
        <w:t>, K; et al. 2005. Genome-Wide Expression Profiling in Malaria Infection Reveals Transcriptional Changes Associated with Lethal and Nonlethal Outcomes. Infect Immune, 73(9):6091-6100.</w:t>
      </w:r>
    </w:p>
    <w:p w14:paraId="205B106B" w14:textId="77777777" w:rsidR="00E8424D" w:rsidRPr="00EF183C" w:rsidRDefault="00E8424D">
      <w:pPr>
        <w:pStyle w:val="Body"/>
        <w:rPr>
          <w:rFonts w:ascii="Times New Roman" w:hAnsi="Times New Roman" w:cs="Times New Roman"/>
        </w:rPr>
      </w:pPr>
    </w:p>
    <w:p w14:paraId="60919509" w14:textId="77777777" w:rsidR="00E8424D" w:rsidRPr="00EF183C" w:rsidRDefault="001D7EB3" w:rsidP="00EF183C">
      <w:pPr>
        <w:pStyle w:val="Body"/>
        <w:numPr>
          <w:ilvl w:val="0"/>
          <w:numId w:val="4"/>
        </w:numPr>
        <w:rPr>
          <w:rFonts w:ascii="Times New Roman" w:hAnsi="Times New Roman" w:cs="Times New Roman"/>
        </w:rPr>
      </w:pPr>
      <w:proofErr w:type="spellStart"/>
      <w:r w:rsidRPr="00EF183C">
        <w:rPr>
          <w:rFonts w:ascii="Times New Roman" w:hAnsi="Times New Roman" w:cs="Times New Roman"/>
        </w:rPr>
        <w:t>Soothill</w:t>
      </w:r>
      <w:proofErr w:type="spellEnd"/>
      <w:r w:rsidRPr="00EF183C">
        <w:rPr>
          <w:rFonts w:ascii="Times New Roman" w:hAnsi="Times New Roman" w:cs="Times New Roman"/>
        </w:rPr>
        <w:t>, JS; et al. 1992. The HID</w:t>
      </w:r>
      <w:r w:rsidRPr="00EF183C">
        <w:rPr>
          <w:rFonts w:ascii="Times New Roman" w:hAnsi="Times New Roman" w:cs="Times New Roman"/>
          <w:vertAlign w:val="subscript"/>
        </w:rPr>
        <w:t>50</w:t>
      </w:r>
      <w:r w:rsidRPr="00EF183C">
        <w:rPr>
          <w:rFonts w:ascii="Times New Roman" w:hAnsi="Times New Roman" w:cs="Times New Roman"/>
        </w:rPr>
        <w:t xml:space="preserve"> (hypothermia-inducing dose </w:t>
      </w:r>
      <w:r w:rsidRPr="00EF183C">
        <w:rPr>
          <w:rFonts w:ascii="Times New Roman" w:hAnsi="Times New Roman" w:cs="Times New Roman"/>
          <w:vertAlign w:val="subscript"/>
        </w:rPr>
        <w:t>50</w:t>
      </w:r>
      <w:r w:rsidRPr="00EF183C">
        <w:rPr>
          <w:rFonts w:ascii="Times New Roman" w:hAnsi="Times New Roman" w:cs="Times New Roman"/>
        </w:rPr>
        <w:t>): an alternative to the LD</w:t>
      </w:r>
      <w:r w:rsidRPr="00EF183C">
        <w:rPr>
          <w:rFonts w:ascii="Times New Roman" w:hAnsi="Times New Roman" w:cs="Times New Roman"/>
          <w:vertAlign w:val="subscript"/>
        </w:rPr>
        <w:t>50</w:t>
      </w:r>
      <w:r w:rsidRPr="00EF183C">
        <w:rPr>
          <w:rFonts w:ascii="Times New Roman" w:hAnsi="Times New Roman" w:cs="Times New Roman"/>
        </w:rPr>
        <w:t xml:space="preserve"> for measurement of bacterial virulence. Int J Exp </w:t>
      </w:r>
      <w:proofErr w:type="spellStart"/>
      <w:r w:rsidRPr="00EF183C">
        <w:rPr>
          <w:rFonts w:ascii="Times New Roman" w:hAnsi="Times New Roman" w:cs="Times New Roman"/>
        </w:rPr>
        <w:t>Pathol</w:t>
      </w:r>
      <w:proofErr w:type="spellEnd"/>
      <w:r w:rsidRPr="00EF183C">
        <w:rPr>
          <w:rFonts w:ascii="Times New Roman" w:hAnsi="Times New Roman" w:cs="Times New Roman"/>
        </w:rPr>
        <w:t>, 73(1):95-98.</w:t>
      </w:r>
    </w:p>
    <w:p w14:paraId="4C0F7500" w14:textId="77777777" w:rsidR="00E8424D" w:rsidRPr="00EF183C" w:rsidRDefault="00E8424D">
      <w:pPr>
        <w:pStyle w:val="Body"/>
        <w:rPr>
          <w:rFonts w:ascii="Times New Roman" w:hAnsi="Times New Roman" w:cs="Times New Roman"/>
        </w:rPr>
      </w:pPr>
    </w:p>
    <w:p w14:paraId="08086F13" w14:textId="77777777" w:rsidR="00E8424D" w:rsidRPr="00EF183C" w:rsidRDefault="001D7EB3" w:rsidP="00EF183C">
      <w:pPr>
        <w:pStyle w:val="Body"/>
        <w:numPr>
          <w:ilvl w:val="0"/>
          <w:numId w:val="4"/>
        </w:numPr>
        <w:rPr>
          <w:rFonts w:ascii="Times New Roman" w:hAnsi="Times New Roman" w:cs="Times New Roman"/>
        </w:rPr>
      </w:pPr>
      <w:r w:rsidRPr="00EF183C">
        <w:rPr>
          <w:rFonts w:ascii="Times New Roman" w:hAnsi="Times New Roman" w:cs="Times New Roman"/>
        </w:rPr>
        <w:t>Trammell, RA; et al. 2012. Markers for Heightened Monitoring, Imminent Death, and Euthanasia in Aged Inbred Mice. Comp Med, 62(3):172-178.</w:t>
      </w:r>
    </w:p>
    <w:p w14:paraId="4699D8DC" w14:textId="77777777" w:rsidR="00E8424D" w:rsidRPr="00EF183C" w:rsidRDefault="00E8424D">
      <w:pPr>
        <w:pStyle w:val="Body"/>
        <w:rPr>
          <w:rFonts w:ascii="Times New Roman" w:hAnsi="Times New Roman" w:cs="Times New Roman"/>
        </w:rPr>
      </w:pPr>
    </w:p>
    <w:p w14:paraId="1721492A" w14:textId="77777777" w:rsidR="00E8424D" w:rsidRPr="00EF183C" w:rsidRDefault="001D7EB3" w:rsidP="00EF183C">
      <w:pPr>
        <w:pStyle w:val="Body"/>
        <w:numPr>
          <w:ilvl w:val="0"/>
          <w:numId w:val="4"/>
        </w:numPr>
        <w:rPr>
          <w:rFonts w:ascii="Times New Roman" w:hAnsi="Times New Roman" w:cs="Times New Roman"/>
        </w:rPr>
      </w:pPr>
      <w:r w:rsidRPr="00EF183C">
        <w:rPr>
          <w:rFonts w:ascii="Times New Roman" w:hAnsi="Times New Roman" w:cs="Times New Roman"/>
        </w:rPr>
        <w:t>Trammell, RA; Toth, LA. 2011. Markers for Predicting Death as an Outcome for Mice Used in Infectious Disease Research. Comp Med, 61(6):492-498.</w:t>
      </w:r>
    </w:p>
    <w:p w14:paraId="7300908B" w14:textId="77777777" w:rsidR="00E8424D" w:rsidRPr="00EF183C" w:rsidRDefault="00E8424D">
      <w:pPr>
        <w:pStyle w:val="Body"/>
        <w:rPr>
          <w:rFonts w:ascii="Times New Roman" w:hAnsi="Times New Roman" w:cs="Times New Roman"/>
        </w:rPr>
      </w:pPr>
    </w:p>
    <w:p w14:paraId="77B61EDA" w14:textId="77777777" w:rsidR="00E8424D" w:rsidRPr="00EF183C" w:rsidRDefault="001D7EB3" w:rsidP="00EF183C">
      <w:pPr>
        <w:pStyle w:val="Body"/>
        <w:numPr>
          <w:ilvl w:val="0"/>
          <w:numId w:val="4"/>
        </w:numPr>
        <w:rPr>
          <w:rFonts w:ascii="Times New Roman" w:hAnsi="Times New Roman" w:cs="Times New Roman"/>
        </w:rPr>
      </w:pPr>
      <w:r w:rsidRPr="00EF183C">
        <w:rPr>
          <w:rFonts w:ascii="Times New Roman" w:hAnsi="Times New Roman" w:cs="Times New Roman"/>
        </w:rPr>
        <w:t>Ullman-</w:t>
      </w:r>
      <w:proofErr w:type="spellStart"/>
      <w:r w:rsidRPr="00EF183C">
        <w:rPr>
          <w:rFonts w:ascii="Times New Roman" w:hAnsi="Times New Roman" w:cs="Times New Roman"/>
        </w:rPr>
        <w:t>Culleré</w:t>
      </w:r>
      <w:proofErr w:type="spellEnd"/>
      <w:r w:rsidRPr="00EF183C">
        <w:rPr>
          <w:rFonts w:ascii="Times New Roman" w:hAnsi="Times New Roman" w:cs="Times New Roman"/>
        </w:rPr>
        <w:t xml:space="preserve">, MH; Foltz, CJ. 1999. Body Condition Scoring: A Rapid and Accurate Method for Assessing Health Status in Mice. Lab </w:t>
      </w:r>
      <w:proofErr w:type="spellStart"/>
      <w:r w:rsidRPr="00EF183C">
        <w:rPr>
          <w:rFonts w:ascii="Times New Roman" w:hAnsi="Times New Roman" w:cs="Times New Roman"/>
        </w:rPr>
        <w:t>Anim</w:t>
      </w:r>
      <w:proofErr w:type="spellEnd"/>
      <w:r w:rsidRPr="00EF183C">
        <w:rPr>
          <w:rFonts w:ascii="Times New Roman" w:hAnsi="Times New Roman" w:cs="Times New Roman"/>
        </w:rPr>
        <w:t xml:space="preserve"> Sci, 49(3):319-323.</w:t>
      </w:r>
    </w:p>
    <w:p w14:paraId="20CA82DD" w14:textId="77777777" w:rsidR="00E8424D" w:rsidRPr="00EF183C" w:rsidRDefault="00E8424D">
      <w:pPr>
        <w:pStyle w:val="Body"/>
        <w:rPr>
          <w:rFonts w:ascii="Times New Roman" w:hAnsi="Times New Roman" w:cs="Times New Roman"/>
        </w:rPr>
      </w:pPr>
    </w:p>
    <w:p w14:paraId="140B20E5" w14:textId="77777777" w:rsidR="00E8424D" w:rsidRPr="00EF183C" w:rsidRDefault="001D7EB3" w:rsidP="00EF183C">
      <w:pPr>
        <w:pStyle w:val="Body"/>
        <w:numPr>
          <w:ilvl w:val="0"/>
          <w:numId w:val="4"/>
        </w:numPr>
        <w:rPr>
          <w:rFonts w:ascii="Times New Roman" w:hAnsi="Times New Roman" w:cs="Times New Roman"/>
        </w:rPr>
      </w:pPr>
      <w:r w:rsidRPr="00EF183C">
        <w:rPr>
          <w:rFonts w:ascii="Times New Roman" w:hAnsi="Times New Roman" w:cs="Times New Roman"/>
        </w:rPr>
        <w:t>Verhoeven, D; et al. 2009. Pulse-oximetry accurately predicts lung pathology and the immune response during influenza infection. Virology, 390:151-156.</w:t>
      </w:r>
    </w:p>
    <w:p w14:paraId="09F9A50C" w14:textId="77777777" w:rsidR="00E8424D" w:rsidRPr="00EF183C" w:rsidRDefault="00E8424D">
      <w:pPr>
        <w:pStyle w:val="Body"/>
        <w:rPr>
          <w:rFonts w:ascii="Times New Roman" w:hAnsi="Times New Roman" w:cs="Times New Roman"/>
        </w:rPr>
      </w:pPr>
    </w:p>
    <w:p w14:paraId="493D6525" w14:textId="77777777" w:rsidR="00E8424D" w:rsidRPr="00EF183C" w:rsidRDefault="001D7EB3" w:rsidP="00EF183C">
      <w:pPr>
        <w:pStyle w:val="Body"/>
        <w:numPr>
          <w:ilvl w:val="0"/>
          <w:numId w:val="4"/>
        </w:numPr>
        <w:rPr>
          <w:rFonts w:ascii="Times New Roman" w:hAnsi="Times New Roman" w:cs="Times New Roman"/>
        </w:rPr>
      </w:pPr>
      <w:r w:rsidRPr="00EF183C">
        <w:rPr>
          <w:rFonts w:ascii="Times New Roman" w:hAnsi="Times New Roman" w:cs="Times New Roman"/>
        </w:rPr>
        <w:t xml:space="preserve">Warn, PA; et al. 2003. Infrared body temperature measurement of mice as an early predictor of death in experimental fungal infections. Lab </w:t>
      </w:r>
      <w:proofErr w:type="spellStart"/>
      <w:r w:rsidRPr="00EF183C">
        <w:rPr>
          <w:rFonts w:ascii="Times New Roman" w:hAnsi="Times New Roman" w:cs="Times New Roman"/>
        </w:rPr>
        <w:t>Anim</w:t>
      </w:r>
      <w:proofErr w:type="spellEnd"/>
      <w:r w:rsidRPr="00EF183C">
        <w:rPr>
          <w:rFonts w:ascii="Times New Roman" w:hAnsi="Times New Roman" w:cs="Times New Roman"/>
        </w:rPr>
        <w:t>, 37(2):126-131.</w:t>
      </w:r>
    </w:p>
    <w:p w14:paraId="535E2797" w14:textId="77777777" w:rsidR="00E8424D" w:rsidRPr="00EF183C" w:rsidRDefault="00E8424D">
      <w:pPr>
        <w:pStyle w:val="Body"/>
        <w:rPr>
          <w:rFonts w:ascii="Times New Roman" w:hAnsi="Times New Roman" w:cs="Times New Roman"/>
        </w:rPr>
      </w:pPr>
    </w:p>
    <w:p w14:paraId="5E219BF4" w14:textId="77777777" w:rsidR="00E8424D" w:rsidRPr="00EF183C" w:rsidRDefault="001D7EB3" w:rsidP="00EF183C">
      <w:pPr>
        <w:pStyle w:val="Body"/>
        <w:numPr>
          <w:ilvl w:val="0"/>
          <w:numId w:val="4"/>
        </w:numPr>
        <w:rPr>
          <w:rFonts w:ascii="Times New Roman" w:hAnsi="Times New Roman" w:cs="Times New Roman"/>
        </w:rPr>
      </w:pPr>
      <w:r w:rsidRPr="00EF183C">
        <w:rPr>
          <w:rFonts w:ascii="Times New Roman" w:hAnsi="Times New Roman" w:cs="Times New Roman"/>
        </w:rPr>
        <w:t xml:space="preserve">Wong, JP; et al. 1997. Development of a murine hypothermia model for study of respiratory tract influenza virus infection. Lab </w:t>
      </w:r>
      <w:proofErr w:type="spellStart"/>
      <w:r w:rsidRPr="00EF183C">
        <w:rPr>
          <w:rFonts w:ascii="Times New Roman" w:hAnsi="Times New Roman" w:cs="Times New Roman"/>
        </w:rPr>
        <w:t>Anim</w:t>
      </w:r>
      <w:proofErr w:type="spellEnd"/>
      <w:r w:rsidRPr="00EF183C">
        <w:rPr>
          <w:rFonts w:ascii="Times New Roman" w:hAnsi="Times New Roman" w:cs="Times New Roman"/>
        </w:rPr>
        <w:t xml:space="preserve"> Sci, 47(2):143-147.</w:t>
      </w:r>
      <w:r w:rsidRPr="00EF183C">
        <w:rPr>
          <w:rFonts w:ascii="Times New Roman" w:hAnsi="Times New Roman" w:cs="Times New Roman"/>
        </w:rPr>
        <w:br w:type="page"/>
      </w:r>
    </w:p>
    <w:p w14:paraId="4A68C026" w14:textId="77777777" w:rsidR="00E8424D" w:rsidRPr="00EF183C" w:rsidRDefault="001D7EB3">
      <w:pPr>
        <w:pStyle w:val="Body"/>
        <w:jc w:val="center"/>
        <w:rPr>
          <w:rFonts w:ascii="Times New Roman" w:hAnsi="Times New Roman" w:cs="Times New Roman"/>
          <w:b/>
          <w:bCs/>
        </w:rPr>
      </w:pPr>
      <w:r w:rsidRPr="00EF183C">
        <w:rPr>
          <w:rFonts w:ascii="Times New Roman" w:hAnsi="Times New Roman" w:cs="Times New Roman"/>
          <w:b/>
          <w:bCs/>
          <w:noProof/>
        </w:rPr>
        <w:lastRenderedPageBreak/>
        <mc:AlternateContent>
          <mc:Choice Requires="wps">
            <w:drawing>
              <wp:anchor distT="152400" distB="152400" distL="152400" distR="152400" simplePos="0" relativeHeight="251662336" behindDoc="0" locked="0" layoutInCell="1" allowOverlap="1" wp14:anchorId="0FC87B6F" wp14:editId="193409E6">
                <wp:simplePos x="0" y="0"/>
                <wp:positionH relativeFrom="margin">
                  <wp:posOffset>1135522</wp:posOffset>
                </wp:positionH>
                <wp:positionV relativeFrom="page">
                  <wp:posOffset>786796</wp:posOffset>
                </wp:positionV>
                <wp:extent cx="3736140" cy="255207"/>
                <wp:effectExtent l="0" t="0" r="0" b="0"/>
                <wp:wrapTopAndBottom distT="152400" distB="152400"/>
                <wp:docPr id="1073741828" name="officeArt object" descr="Appendix A: Mouse Line Body Weight Information"/>
                <wp:cNvGraphicFramePr/>
                <a:graphic xmlns:a="http://schemas.openxmlformats.org/drawingml/2006/main">
                  <a:graphicData uri="http://schemas.microsoft.com/office/word/2010/wordprocessingShape">
                    <wps:wsp>
                      <wps:cNvSpPr txBox="1"/>
                      <wps:spPr>
                        <a:xfrm>
                          <a:off x="0" y="0"/>
                          <a:ext cx="3736140" cy="255207"/>
                        </a:xfrm>
                        <a:prstGeom prst="rect">
                          <a:avLst/>
                        </a:prstGeom>
                        <a:noFill/>
                        <a:ln w="12700" cap="flat">
                          <a:noFill/>
                          <a:miter lim="400000"/>
                        </a:ln>
                        <a:effectLst/>
                      </wps:spPr>
                      <wps:txbx>
                        <w:txbxContent>
                          <w:p w14:paraId="0CD68BDA" w14:textId="77777777" w:rsidR="00E8424D" w:rsidRDefault="001D7EB3">
                            <w:pPr>
                              <w:pStyle w:val="Body"/>
                              <w:jc w:val="center"/>
                            </w:pPr>
                            <w:r>
                              <w:rPr>
                                <w:b/>
                                <w:bCs/>
                              </w:rPr>
                              <w:t>Appendix A: Mouse Line Body Weight Information</w:t>
                            </w:r>
                          </w:p>
                        </w:txbxContent>
                      </wps:txbx>
                      <wps:bodyPr wrap="square" lIns="50800" tIns="50800" rIns="50800" bIns="50800" numCol="1" anchor="t">
                        <a:noAutofit/>
                      </wps:bodyPr>
                    </wps:wsp>
                  </a:graphicData>
                </a:graphic>
              </wp:anchor>
            </w:drawing>
          </mc:Choice>
          <mc:Fallback>
            <w:pict>
              <v:shapetype w14:anchorId="0FC87B6F" id="_x0000_t202" coordsize="21600,21600" o:spt="202" path="m,l,21600r21600,l21600,xe">
                <v:stroke joinstyle="miter"/>
                <v:path gradientshapeok="t" o:connecttype="rect"/>
              </v:shapetype>
              <v:shape id="officeArt object" o:spid="_x0000_s1026" type="#_x0000_t202" alt="Appendix A: Mouse Line Body Weight Information" style="position:absolute;left:0;text-align:left;margin-left:89.4pt;margin-top:61.95pt;width:294.2pt;height:20.1pt;z-index:251662336;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" filled="f" stroked="f" strokeweight="1pt">
                <v:stroke miterlimit="4"/>
                <v:textbox inset="4pt,4pt,4pt,4pt">
                  <w:txbxContent>
                    <w:p w14:paraId="0CD68BDA" w14:textId="77777777" w:rsidR="00E8424D" w:rsidRDefault="00000000">
                      <w:pPr>
                        <w:pStyle w:val="Body"/>
                        <w:jc w:val="center"/>
                      </w:pPr>
                      <w:r>
                        <w:rPr>
                          <w:b/>
                          <w:bCs/>
                        </w:rPr>
                        <w:t>Appendix A: Mouse Line Body Weight Information</w:t>
                      </w:r>
                    </w:p>
                  </w:txbxContent>
                </v:textbox>
                <w10:wrap type="topAndBottom" anchorx="margin" anchory="page"/>
              </v:shape>
            </w:pict>
          </mc:Fallback>
        </mc:AlternateContent>
      </w:r>
    </w:p>
    <w:p w14:paraId="2FA049D9" w14:textId="77777777" w:rsidR="00E8424D" w:rsidRPr="00EF183C" w:rsidRDefault="001D7EB3">
      <w:pPr>
        <w:pStyle w:val="Body"/>
        <w:jc w:val="center"/>
        <w:rPr>
          <w:rFonts w:ascii="Times New Roman" w:hAnsi="Times New Roman" w:cs="Times New Roman"/>
          <w:b/>
          <w:bCs/>
        </w:rPr>
      </w:pPr>
      <w:r w:rsidRPr="00EF183C">
        <w:rPr>
          <w:rFonts w:ascii="Times New Roman" w:hAnsi="Times New Roman" w:cs="Times New Roman"/>
          <w:noProof/>
        </w:rPr>
        <w:drawing>
          <wp:anchor distT="0" distB="0" distL="0" distR="0" simplePos="0" relativeHeight="251659264" behindDoc="0" locked="0" layoutInCell="1" allowOverlap="1" wp14:anchorId="7C6C7559" wp14:editId="67DECB65">
            <wp:simplePos x="0" y="0"/>
            <wp:positionH relativeFrom="page">
              <wp:posOffset>2240801</wp:posOffset>
            </wp:positionH>
            <wp:positionV relativeFrom="page">
              <wp:posOffset>1244600</wp:posOffset>
            </wp:positionV>
            <wp:extent cx="4168689" cy="2397332"/>
            <wp:effectExtent l="0" t="0" r="0" b="0"/>
            <wp:wrapTopAndBottom distT="0" distB="0"/>
            <wp:docPr id="1073741829"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Pr="00EF183C">
        <w:rPr>
          <w:rFonts w:ascii="Times New Roman" w:hAnsi="Times New Roman" w:cs="Times New Roman"/>
          <w:noProof/>
        </w:rPr>
        <w:drawing>
          <wp:anchor distT="152400" distB="152400" distL="152400" distR="152400" simplePos="0" relativeHeight="251660288" behindDoc="0" locked="0" layoutInCell="1" allowOverlap="1" wp14:anchorId="692DC977" wp14:editId="1C96CA07">
            <wp:simplePos x="0" y="0"/>
            <wp:positionH relativeFrom="page">
              <wp:posOffset>2188205</wp:posOffset>
            </wp:positionH>
            <wp:positionV relativeFrom="page">
              <wp:posOffset>3974481</wp:posOffset>
            </wp:positionV>
            <wp:extent cx="4165911" cy="2465039"/>
            <wp:effectExtent l="0" t="0" r="0" b="0"/>
            <wp:wrapTopAndBottom distT="152400" distB="152400"/>
            <wp:docPr id="1073741830"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Pr="00EF183C">
        <w:rPr>
          <w:rFonts w:ascii="Times New Roman" w:hAnsi="Times New Roman" w:cs="Times New Roman"/>
          <w:noProof/>
        </w:rPr>
        <w:drawing>
          <wp:anchor distT="152400" distB="152400" distL="152400" distR="152400" simplePos="0" relativeHeight="251661312" behindDoc="0" locked="0" layoutInCell="1" allowOverlap="1" wp14:anchorId="5FD12251" wp14:editId="751E6AF8">
            <wp:simplePos x="0" y="0"/>
            <wp:positionH relativeFrom="page">
              <wp:posOffset>2199065</wp:posOffset>
            </wp:positionH>
            <wp:positionV relativeFrom="page">
              <wp:posOffset>7044015</wp:posOffset>
            </wp:positionV>
            <wp:extent cx="4341311" cy="2319703"/>
            <wp:effectExtent l="0" t="0" r="0" b="0"/>
            <wp:wrapTopAndBottom distT="152400" distB="152400"/>
            <wp:docPr id="1073741831"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14:paraId="333DCDB8" w14:textId="77777777" w:rsidR="00E8424D" w:rsidRPr="00EF183C" w:rsidRDefault="00E8424D">
      <w:pPr>
        <w:pStyle w:val="Body"/>
        <w:jc w:val="center"/>
        <w:rPr>
          <w:rFonts w:ascii="Times New Roman" w:hAnsi="Times New Roman" w:cs="Times New Roman"/>
          <w:b/>
          <w:bCs/>
        </w:rPr>
      </w:pPr>
    </w:p>
    <w:p w14:paraId="6509D50C" w14:textId="77777777" w:rsidR="00E8424D" w:rsidRPr="00EF183C" w:rsidRDefault="00E8424D">
      <w:pPr>
        <w:pStyle w:val="Body"/>
        <w:jc w:val="center"/>
        <w:rPr>
          <w:rFonts w:ascii="Times New Roman" w:hAnsi="Times New Roman" w:cs="Times New Roman"/>
          <w:b/>
          <w:bCs/>
        </w:rPr>
      </w:pPr>
    </w:p>
    <w:tbl>
      <w:tblPr>
        <w:tblW w:w="642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60"/>
        <w:gridCol w:w="1046"/>
        <w:gridCol w:w="1034"/>
        <w:gridCol w:w="829"/>
        <w:gridCol w:w="851"/>
        <w:gridCol w:w="911"/>
        <w:gridCol w:w="889"/>
      </w:tblGrid>
      <w:tr w:rsidR="00E8424D" w:rsidRPr="0038146F" w14:paraId="20AD428D" w14:textId="77777777">
        <w:trPr>
          <w:trHeight w:val="240"/>
          <w:tblHeader/>
          <w:jc w:val="center"/>
        </w:trPr>
        <w:tc>
          <w:tcPr>
            <w:tcW w:w="6420" w:type="dxa"/>
            <w:gridSpan w:val="7"/>
            <w:tcBorders>
              <w:top w:val="nil"/>
              <w:left w:val="nil"/>
              <w:bottom w:val="nil"/>
              <w:right w:val="nil"/>
            </w:tcBorders>
            <w:shd w:val="clear" w:color="auto" w:fill="auto"/>
            <w:tcMar>
              <w:top w:w="80" w:type="dxa"/>
              <w:left w:w="80" w:type="dxa"/>
              <w:bottom w:w="80" w:type="dxa"/>
              <w:right w:w="80" w:type="dxa"/>
            </w:tcMar>
            <w:vAlign w:val="center"/>
          </w:tcPr>
          <w:p w14:paraId="453F18F5" w14:textId="77777777" w:rsidR="00E8424D" w:rsidRPr="00EF183C" w:rsidRDefault="001D7EB3">
            <w:pPr>
              <w:pStyle w:val="Default"/>
              <w:spacing w:before="0"/>
              <w:jc w:val="center"/>
              <w:rPr>
                <w:rFonts w:ascii="Times New Roman" w:hAnsi="Times New Roman" w:cs="Times New Roman"/>
                <w:sz w:val="24"/>
                <w:szCs w:val="24"/>
              </w:rPr>
            </w:pPr>
            <w:r w:rsidRPr="00EF183C">
              <w:rPr>
                <w:rFonts w:ascii="Times New Roman" w:hAnsi="Times New Roman" w:cs="Times New Roman"/>
                <w:b/>
                <w:bCs/>
                <w:sz w:val="24"/>
                <w:szCs w:val="24"/>
              </w:rPr>
              <w:t>Weekly Body Weight Information for C57BL/6J Mice.</w:t>
            </w:r>
          </w:p>
        </w:tc>
      </w:tr>
      <w:tr w:rsidR="00E8424D" w:rsidRPr="0038146F" w14:paraId="788910E7" w14:textId="77777777">
        <w:tblPrEx>
          <w:shd w:val="clear" w:color="auto" w:fill="BDC0BF"/>
        </w:tblPrEx>
        <w:trPr>
          <w:trHeight w:val="247"/>
          <w:tblHeader/>
          <w:jc w:val="center"/>
        </w:trPr>
        <w:tc>
          <w:tcPr>
            <w:tcW w:w="860" w:type="dxa"/>
            <w:vMerge w:val="restart"/>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31DEE301"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Age (w)</w:t>
            </w:r>
          </w:p>
        </w:tc>
        <w:tc>
          <w:tcPr>
            <w:tcW w:w="2080" w:type="dxa"/>
            <w:gridSpan w:val="2"/>
            <w:tcBorders>
              <w:top w:val="single" w:sz="2" w:space="0" w:color="000000"/>
              <w:left w:val="single" w:sz="2" w:space="0" w:color="000000"/>
              <w:bottom w:val="single" w:sz="2" w:space="0" w:color="000000"/>
              <w:right w:val="single" w:sz="2" w:space="0" w:color="000000"/>
            </w:tcBorders>
            <w:shd w:val="clear" w:color="auto" w:fill="BDC0BF"/>
            <w:tcMar>
              <w:top w:w="80" w:type="dxa"/>
              <w:left w:w="80" w:type="dxa"/>
              <w:bottom w:w="80" w:type="dxa"/>
              <w:right w:w="80" w:type="dxa"/>
            </w:tcMar>
          </w:tcPr>
          <w:p w14:paraId="4EB777A7"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Body Weight (g)</w:t>
            </w:r>
          </w:p>
        </w:tc>
        <w:tc>
          <w:tcPr>
            <w:tcW w:w="1680" w:type="dxa"/>
            <w:gridSpan w:val="2"/>
            <w:tcBorders>
              <w:top w:val="single" w:sz="2" w:space="0" w:color="000000"/>
              <w:left w:val="single" w:sz="2" w:space="0" w:color="000000"/>
              <w:bottom w:val="single" w:sz="2" w:space="0" w:color="000000"/>
              <w:right w:val="single" w:sz="2" w:space="0" w:color="000000"/>
            </w:tcBorders>
            <w:shd w:val="clear" w:color="auto" w:fill="BDC0BF"/>
            <w:tcMar>
              <w:top w:w="80" w:type="dxa"/>
              <w:left w:w="80" w:type="dxa"/>
              <w:bottom w:w="80" w:type="dxa"/>
              <w:right w:w="80" w:type="dxa"/>
            </w:tcMar>
          </w:tcPr>
          <w:p w14:paraId="6F7616C9"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Weekly ∆g</w:t>
            </w:r>
          </w:p>
        </w:tc>
        <w:tc>
          <w:tcPr>
            <w:tcW w:w="1800" w:type="dxa"/>
            <w:gridSpan w:val="2"/>
            <w:tcBorders>
              <w:top w:val="single" w:sz="2" w:space="0" w:color="000000"/>
              <w:left w:val="single" w:sz="2" w:space="0" w:color="000000"/>
              <w:bottom w:val="single" w:sz="2" w:space="0" w:color="000000"/>
              <w:right w:val="single" w:sz="2" w:space="0" w:color="000000"/>
            </w:tcBorders>
            <w:shd w:val="clear" w:color="auto" w:fill="BDC0BF"/>
            <w:tcMar>
              <w:top w:w="80" w:type="dxa"/>
              <w:left w:w="80" w:type="dxa"/>
              <w:bottom w:w="80" w:type="dxa"/>
              <w:right w:w="80" w:type="dxa"/>
            </w:tcMar>
          </w:tcPr>
          <w:p w14:paraId="2055040C"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Weekly ∆%</w:t>
            </w:r>
          </w:p>
        </w:tc>
      </w:tr>
      <w:tr w:rsidR="00E8424D" w:rsidRPr="0038146F" w14:paraId="5E6C5F0B" w14:textId="77777777">
        <w:tblPrEx>
          <w:shd w:val="clear" w:color="auto" w:fill="BDC0BF"/>
        </w:tblPrEx>
        <w:trPr>
          <w:trHeight w:val="251"/>
          <w:tblHeader/>
          <w:jc w:val="center"/>
        </w:trPr>
        <w:tc>
          <w:tcPr>
            <w:tcW w:w="860" w:type="dxa"/>
            <w:vMerge/>
            <w:tcBorders>
              <w:top w:val="single" w:sz="2" w:space="0" w:color="000000"/>
              <w:left w:val="single" w:sz="2" w:space="0" w:color="000000"/>
              <w:bottom w:val="single" w:sz="6" w:space="0" w:color="000000"/>
              <w:right w:val="single" w:sz="2" w:space="0" w:color="000000"/>
            </w:tcBorders>
            <w:shd w:val="clear" w:color="auto" w:fill="BDC0BF"/>
          </w:tcPr>
          <w:p w14:paraId="3D5A783C" w14:textId="77777777" w:rsidR="00E8424D" w:rsidRPr="0038146F" w:rsidRDefault="00E8424D"/>
        </w:tc>
        <w:tc>
          <w:tcPr>
            <w:tcW w:w="1046"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2C37BA0"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b w:val="0"/>
                <w:bCs w:val="0"/>
                <w:sz w:val="24"/>
                <w:szCs w:val="24"/>
              </w:rPr>
              <w:t>♀︎</w:t>
            </w:r>
          </w:p>
        </w:tc>
        <w:tc>
          <w:tcPr>
            <w:tcW w:w="103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06A7D32"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w:t>
            </w:r>
          </w:p>
        </w:tc>
        <w:tc>
          <w:tcPr>
            <w:tcW w:w="82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051B95D"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∆g ♀︎</w:t>
            </w:r>
          </w:p>
        </w:tc>
        <w:tc>
          <w:tcPr>
            <w:tcW w:w="85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A40E23A"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∆g ♂︎</w:t>
            </w:r>
          </w:p>
        </w:tc>
        <w:tc>
          <w:tcPr>
            <w:tcW w:w="911"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633A2D1"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 ♀︎</w:t>
            </w:r>
          </w:p>
        </w:tc>
        <w:tc>
          <w:tcPr>
            <w:tcW w:w="88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5F9E254"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 ♂︎</w:t>
            </w:r>
          </w:p>
        </w:tc>
      </w:tr>
      <w:tr w:rsidR="00E8424D" w:rsidRPr="0038146F" w14:paraId="389B654F" w14:textId="77777777">
        <w:trPr>
          <w:trHeight w:val="251"/>
          <w:jc w:val="center"/>
        </w:trPr>
        <w:tc>
          <w:tcPr>
            <w:tcW w:w="860"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7E87217A"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3</w:t>
            </w:r>
          </w:p>
        </w:tc>
        <w:tc>
          <w:tcPr>
            <w:tcW w:w="1046"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211C4886"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10.1</w:t>
            </w:r>
          </w:p>
        </w:tc>
        <w:tc>
          <w:tcPr>
            <w:tcW w:w="1033"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16F241"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10.6</w:t>
            </w:r>
          </w:p>
        </w:tc>
        <w:tc>
          <w:tcPr>
            <w:tcW w:w="82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587C94"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w:t>
            </w:r>
          </w:p>
        </w:tc>
        <w:tc>
          <w:tcPr>
            <w:tcW w:w="850"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B03939"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w:t>
            </w:r>
          </w:p>
        </w:tc>
        <w:tc>
          <w:tcPr>
            <w:tcW w:w="911"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8FF223"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w:t>
            </w:r>
          </w:p>
        </w:tc>
        <w:tc>
          <w:tcPr>
            <w:tcW w:w="888"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48E58E"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w:t>
            </w:r>
          </w:p>
        </w:tc>
      </w:tr>
      <w:tr w:rsidR="00E8424D" w:rsidRPr="0038146F" w14:paraId="6B9CC807" w14:textId="77777777">
        <w:trPr>
          <w:trHeight w:val="247"/>
          <w:jc w:val="center"/>
        </w:trPr>
        <w:tc>
          <w:tcPr>
            <w:tcW w:w="8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3C8A50AE"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4</w:t>
            </w:r>
          </w:p>
        </w:tc>
        <w:tc>
          <w:tcPr>
            <w:tcW w:w="104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2145F9E8"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14.7</w:t>
            </w: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90F2D4"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16.5</w:t>
            </w:r>
          </w:p>
        </w:tc>
        <w:tc>
          <w:tcPr>
            <w:tcW w:w="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C075AD"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4.6</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6F2C56"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5.9</w:t>
            </w:r>
          </w:p>
        </w:tc>
        <w:tc>
          <w:tcPr>
            <w:tcW w:w="9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04CBD0"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45.5%</w:t>
            </w:r>
            <w:r w:rsidRPr="00EF183C">
              <w:rPr>
                <w:rFonts w:ascii="Times New Roman" w:hAnsi="Times New Roman" w:cs="Times New Roman"/>
                <w:sz w:val="24"/>
                <w:szCs w:val="24"/>
              </w:rPr>
              <w:fldChar w:fldCharType="end"/>
            </w:r>
          </w:p>
        </w:tc>
        <w:tc>
          <w:tcPr>
            <w:tcW w:w="8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0BCBF7"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55.7%</w:t>
            </w:r>
            <w:r w:rsidRPr="00EF183C">
              <w:rPr>
                <w:rFonts w:ascii="Times New Roman" w:hAnsi="Times New Roman" w:cs="Times New Roman"/>
                <w:sz w:val="24"/>
                <w:szCs w:val="24"/>
              </w:rPr>
              <w:fldChar w:fldCharType="end"/>
            </w:r>
          </w:p>
        </w:tc>
      </w:tr>
      <w:tr w:rsidR="00E8424D" w:rsidRPr="0038146F" w14:paraId="009A49FF" w14:textId="77777777">
        <w:trPr>
          <w:trHeight w:val="247"/>
          <w:jc w:val="center"/>
        </w:trPr>
        <w:tc>
          <w:tcPr>
            <w:tcW w:w="8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78B293C6"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5</w:t>
            </w:r>
          </w:p>
        </w:tc>
        <w:tc>
          <w:tcPr>
            <w:tcW w:w="104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75DC0E09"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17.8</w:t>
            </w: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1359E5"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20.7</w:t>
            </w:r>
          </w:p>
        </w:tc>
        <w:tc>
          <w:tcPr>
            <w:tcW w:w="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6C6BF2"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3.1</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76273C"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4.2</w:t>
            </w:r>
          </w:p>
        </w:tc>
        <w:tc>
          <w:tcPr>
            <w:tcW w:w="9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CC209C"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21.1%</w:t>
            </w:r>
            <w:r w:rsidRPr="00EF183C">
              <w:rPr>
                <w:rFonts w:ascii="Times New Roman" w:hAnsi="Times New Roman" w:cs="Times New Roman"/>
                <w:sz w:val="24"/>
                <w:szCs w:val="24"/>
              </w:rPr>
              <w:fldChar w:fldCharType="end"/>
            </w:r>
          </w:p>
        </w:tc>
        <w:tc>
          <w:tcPr>
            <w:tcW w:w="8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0BC53C"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25.5%</w:t>
            </w:r>
            <w:r w:rsidRPr="00EF183C">
              <w:rPr>
                <w:rFonts w:ascii="Times New Roman" w:hAnsi="Times New Roman" w:cs="Times New Roman"/>
                <w:sz w:val="24"/>
                <w:szCs w:val="24"/>
              </w:rPr>
              <w:fldChar w:fldCharType="end"/>
            </w:r>
          </w:p>
        </w:tc>
      </w:tr>
      <w:tr w:rsidR="00E8424D" w:rsidRPr="0038146F" w14:paraId="0DCDF450" w14:textId="77777777">
        <w:trPr>
          <w:trHeight w:val="247"/>
          <w:jc w:val="center"/>
        </w:trPr>
        <w:tc>
          <w:tcPr>
            <w:tcW w:w="8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3A155BC8"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6</w:t>
            </w:r>
          </w:p>
        </w:tc>
        <w:tc>
          <w:tcPr>
            <w:tcW w:w="104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06EDE93"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18.5</w:t>
            </w: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5D8752"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21.9</w:t>
            </w:r>
          </w:p>
        </w:tc>
        <w:tc>
          <w:tcPr>
            <w:tcW w:w="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1D0711"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0.7</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A4EC73"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1.2</w:t>
            </w:r>
          </w:p>
        </w:tc>
        <w:tc>
          <w:tcPr>
            <w:tcW w:w="9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0FA004"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3.9%</w:t>
            </w:r>
            <w:r w:rsidRPr="00EF183C">
              <w:rPr>
                <w:rFonts w:ascii="Times New Roman" w:hAnsi="Times New Roman" w:cs="Times New Roman"/>
                <w:sz w:val="24"/>
                <w:szCs w:val="24"/>
              </w:rPr>
              <w:fldChar w:fldCharType="end"/>
            </w:r>
          </w:p>
        </w:tc>
        <w:tc>
          <w:tcPr>
            <w:tcW w:w="8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A81B0"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5.8%</w:t>
            </w:r>
            <w:r w:rsidRPr="00EF183C">
              <w:rPr>
                <w:rFonts w:ascii="Times New Roman" w:hAnsi="Times New Roman" w:cs="Times New Roman"/>
                <w:sz w:val="24"/>
                <w:szCs w:val="24"/>
              </w:rPr>
              <w:fldChar w:fldCharType="end"/>
            </w:r>
          </w:p>
        </w:tc>
      </w:tr>
      <w:tr w:rsidR="00E8424D" w:rsidRPr="0038146F" w14:paraId="3D211493" w14:textId="77777777">
        <w:trPr>
          <w:trHeight w:val="247"/>
          <w:jc w:val="center"/>
        </w:trPr>
        <w:tc>
          <w:tcPr>
            <w:tcW w:w="8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31225D75"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7</w:t>
            </w:r>
          </w:p>
        </w:tc>
        <w:tc>
          <w:tcPr>
            <w:tcW w:w="104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0E68146B"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19</w:t>
            </w: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E40837"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23.6</w:t>
            </w:r>
          </w:p>
        </w:tc>
        <w:tc>
          <w:tcPr>
            <w:tcW w:w="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1BFA6D"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0.5</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62F645"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1.7</w:t>
            </w:r>
          </w:p>
        </w:tc>
        <w:tc>
          <w:tcPr>
            <w:tcW w:w="9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8EAAA1"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2.7%</w:t>
            </w:r>
            <w:r w:rsidRPr="00EF183C">
              <w:rPr>
                <w:rFonts w:ascii="Times New Roman" w:hAnsi="Times New Roman" w:cs="Times New Roman"/>
                <w:sz w:val="24"/>
                <w:szCs w:val="24"/>
              </w:rPr>
              <w:fldChar w:fldCharType="end"/>
            </w:r>
          </w:p>
        </w:tc>
        <w:tc>
          <w:tcPr>
            <w:tcW w:w="8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34BC19"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7.8%</w:t>
            </w:r>
            <w:r w:rsidRPr="00EF183C">
              <w:rPr>
                <w:rFonts w:ascii="Times New Roman" w:hAnsi="Times New Roman" w:cs="Times New Roman"/>
                <w:sz w:val="24"/>
                <w:szCs w:val="24"/>
              </w:rPr>
              <w:fldChar w:fldCharType="end"/>
            </w:r>
          </w:p>
        </w:tc>
      </w:tr>
      <w:tr w:rsidR="00E8424D" w:rsidRPr="0038146F" w14:paraId="2369488F" w14:textId="77777777">
        <w:trPr>
          <w:trHeight w:val="247"/>
          <w:jc w:val="center"/>
        </w:trPr>
        <w:tc>
          <w:tcPr>
            <w:tcW w:w="8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391F313B"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8</w:t>
            </w:r>
          </w:p>
        </w:tc>
        <w:tc>
          <w:tcPr>
            <w:tcW w:w="104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7CB07880"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19.6</w:t>
            </w: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0BBF10"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25</w:t>
            </w:r>
          </w:p>
        </w:tc>
        <w:tc>
          <w:tcPr>
            <w:tcW w:w="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AD8653"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0.6</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07233B"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1.4</w:t>
            </w:r>
          </w:p>
        </w:tc>
        <w:tc>
          <w:tcPr>
            <w:tcW w:w="9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DF3253"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3.2%</w:t>
            </w:r>
            <w:r w:rsidRPr="00EF183C">
              <w:rPr>
                <w:rFonts w:ascii="Times New Roman" w:hAnsi="Times New Roman" w:cs="Times New Roman"/>
                <w:sz w:val="24"/>
                <w:szCs w:val="24"/>
              </w:rPr>
              <w:fldChar w:fldCharType="end"/>
            </w:r>
          </w:p>
        </w:tc>
        <w:tc>
          <w:tcPr>
            <w:tcW w:w="8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9A7437"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5.9%</w:t>
            </w:r>
            <w:r w:rsidRPr="00EF183C">
              <w:rPr>
                <w:rFonts w:ascii="Times New Roman" w:hAnsi="Times New Roman" w:cs="Times New Roman"/>
                <w:sz w:val="24"/>
                <w:szCs w:val="24"/>
              </w:rPr>
              <w:fldChar w:fldCharType="end"/>
            </w:r>
          </w:p>
        </w:tc>
      </w:tr>
      <w:tr w:rsidR="00E8424D" w:rsidRPr="0038146F" w14:paraId="65680CFF" w14:textId="77777777">
        <w:trPr>
          <w:trHeight w:val="247"/>
          <w:jc w:val="center"/>
        </w:trPr>
        <w:tc>
          <w:tcPr>
            <w:tcW w:w="8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191162FA"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9</w:t>
            </w:r>
          </w:p>
        </w:tc>
        <w:tc>
          <w:tcPr>
            <w:tcW w:w="104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4B0EE02B"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20.3</w:t>
            </w: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AB92D"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26.1</w:t>
            </w:r>
          </w:p>
        </w:tc>
        <w:tc>
          <w:tcPr>
            <w:tcW w:w="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5EA7DF"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0.7</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5AFC83"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1.1</w:t>
            </w:r>
          </w:p>
        </w:tc>
        <w:tc>
          <w:tcPr>
            <w:tcW w:w="9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961A03"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3.6%</w:t>
            </w:r>
            <w:r w:rsidRPr="00EF183C">
              <w:rPr>
                <w:rFonts w:ascii="Times New Roman" w:hAnsi="Times New Roman" w:cs="Times New Roman"/>
                <w:sz w:val="24"/>
                <w:szCs w:val="24"/>
              </w:rPr>
              <w:fldChar w:fldCharType="end"/>
            </w:r>
          </w:p>
        </w:tc>
        <w:tc>
          <w:tcPr>
            <w:tcW w:w="8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70B8A3"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4.4%</w:t>
            </w:r>
            <w:r w:rsidRPr="00EF183C">
              <w:rPr>
                <w:rFonts w:ascii="Times New Roman" w:hAnsi="Times New Roman" w:cs="Times New Roman"/>
                <w:sz w:val="24"/>
                <w:szCs w:val="24"/>
              </w:rPr>
              <w:fldChar w:fldCharType="end"/>
            </w:r>
          </w:p>
        </w:tc>
      </w:tr>
      <w:tr w:rsidR="00E8424D" w:rsidRPr="0038146F" w14:paraId="23C49E53" w14:textId="77777777">
        <w:trPr>
          <w:trHeight w:val="247"/>
          <w:jc w:val="center"/>
        </w:trPr>
        <w:tc>
          <w:tcPr>
            <w:tcW w:w="8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3C76CEC"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10</w:t>
            </w:r>
          </w:p>
        </w:tc>
        <w:tc>
          <w:tcPr>
            <w:tcW w:w="104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74AA9537"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20.7</w:t>
            </w: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2B4602"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26.9</w:t>
            </w:r>
          </w:p>
        </w:tc>
        <w:tc>
          <w:tcPr>
            <w:tcW w:w="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298B46"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0.4</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D0E063"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0.8</w:t>
            </w:r>
          </w:p>
        </w:tc>
        <w:tc>
          <w:tcPr>
            <w:tcW w:w="9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3CF548"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2.0%</w:t>
            </w:r>
            <w:r w:rsidRPr="00EF183C">
              <w:rPr>
                <w:rFonts w:ascii="Times New Roman" w:hAnsi="Times New Roman" w:cs="Times New Roman"/>
                <w:sz w:val="24"/>
                <w:szCs w:val="24"/>
              </w:rPr>
              <w:fldChar w:fldCharType="end"/>
            </w:r>
          </w:p>
        </w:tc>
        <w:tc>
          <w:tcPr>
            <w:tcW w:w="8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9A9149"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3.1%</w:t>
            </w:r>
            <w:r w:rsidRPr="00EF183C">
              <w:rPr>
                <w:rFonts w:ascii="Times New Roman" w:hAnsi="Times New Roman" w:cs="Times New Roman"/>
                <w:sz w:val="24"/>
                <w:szCs w:val="24"/>
              </w:rPr>
              <w:fldChar w:fldCharType="end"/>
            </w:r>
          </w:p>
        </w:tc>
      </w:tr>
      <w:tr w:rsidR="00E8424D" w:rsidRPr="0038146F" w14:paraId="1C0DE915" w14:textId="77777777">
        <w:trPr>
          <w:trHeight w:val="247"/>
          <w:jc w:val="center"/>
        </w:trPr>
        <w:tc>
          <w:tcPr>
            <w:tcW w:w="8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48FA92EB"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11</w:t>
            </w:r>
          </w:p>
        </w:tc>
        <w:tc>
          <w:tcPr>
            <w:tcW w:w="104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4FE32720"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21.3</w:t>
            </w: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0C3BA"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27.7</w:t>
            </w:r>
          </w:p>
        </w:tc>
        <w:tc>
          <w:tcPr>
            <w:tcW w:w="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418CE4"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0.6</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C6C3E5"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0.8</w:t>
            </w:r>
          </w:p>
        </w:tc>
        <w:tc>
          <w:tcPr>
            <w:tcW w:w="9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60374"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2.9%</w:t>
            </w:r>
            <w:r w:rsidRPr="00EF183C">
              <w:rPr>
                <w:rFonts w:ascii="Times New Roman" w:hAnsi="Times New Roman" w:cs="Times New Roman"/>
                <w:sz w:val="24"/>
                <w:szCs w:val="24"/>
              </w:rPr>
              <w:fldChar w:fldCharType="end"/>
            </w:r>
          </w:p>
        </w:tc>
        <w:tc>
          <w:tcPr>
            <w:tcW w:w="8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CF5C1F"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3.0%</w:t>
            </w:r>
            <w:r w:rsidRPr="00EF183C">
              <w:rPr>
                <w:rFonts w:ascii="Times New Roman" w:hAnsi="Times New Roman" w:cs="Times New Roman"/>
                <w:sz w:val="24"/>
                <w:szCs w:val="24"/>
              </w:rPr>
              <w:fldChar w:fldCharType="end"/>
            </w:r>
          </w:p>
        </w:tc>
      </w:tr>
      <w:tr w:rsidR="00E8424D" w:rsidRPr="0038146F" w14:paraId="28082A9B" w14:textId="77777777">
        <w:trPr>
          <w:trHeight w:val="247"/>
          <w:jc w:val="center"/>
        </w:trPr>
        <w:tc>
          <w:tcPr>
            <w:tcW w:w="8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5CB3799C"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12</w:t>
            </w:r>
          </w:p>
        </w:tc>
        <w:tc>
          <w:tcPr>
            <w:tcW w:w="104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C4D2B3D"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21.9</w:t>
            </w: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80ADA2"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28.9</w:t>
            </w:r>
          </w:p>
        </w:tc>
        <w:tc>
          <w:tcPr>
            <w:tcW w:w="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91FE09"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0.6</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CB8579"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1.2</w:t>
            </w:r>
          </w:p>
        </w:tc>
        <w:tc>
          <w:tcPr>
            <w:tcW w:w="9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CC4382"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2.8%</w:t>
            </w:r>
            <w:r w:rsidRPr="00EF183C">
              <w:rPr>
                <w:rFonts w:ascii="Times New Roman" w:hAnsi="Times New Roman" w:cs="Times New Roman"/>
                <w:sz w:val="24"/>
                <w:szCs w:val="24"/>
              </w:rPr>
              <w:fldChar w:fldCharType="end"/>
            </w:r>
          </w:p>
        </w:tc>
        <w:tc>
          <w:tcPr>
            <w:tcW w:w="8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468FD1"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4.3%</w:t>
            </w:r>
            <w:r w:rsidRPr="00EF183C">
              <w:rPr>
                <w:rFonts w:ascii="Times New Roman" w:hAnsi="Times New Roman" w:cs="Times New Roman"/>
                <w:sz w:val="24"/>
                <w:szCs w:val="24"/>
              </w:rPr>
              <w:fldChar w:fldCharType="end"/>
            </w:r>
          </w:p>
        </w:tc>
      </w:tr>
      <w:tr w:rsidR="00E8424D" w:rsidRPr="0038146F" w14:paraId="6C9551BF" w14:textId="77777777">
        <w:trPr>
          <w:trHeight w:val="247"/>
          <w:jc w:val="center"/>
        </w:trPr>
        <w:tc>
          <w:tcPr>
            <w:tcW w:w="8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5C574271"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13</w:t>
            </w:r>
          </w:p>
        </w:tc>
        <w:tc>
          <w:tcPr>
            <w:tcW w:w="104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A9CC37E"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22.6</w:t>
            </w: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47578"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30</w:t>
            </w:r>
          </w:p>
        </w:tc>
        <w:tc>
          <w:tcPr>
            <w:tcW w:w="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1B3504"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0.7</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CDABAD"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1.1</w:t>
            </w:r>
          </w:p>
        </w:tc>
        <w:tc>
          <w:tcPr>
            <w:tcW w:w="9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3FE1CA"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3.2%</w:t>
            </w:r>
            <w:r w:rsidRPr="00EF183C">
              <w:rPr>
                <w:rFonts w:ascii="Times New Roman" w:hAnsi="Times New Roman" w:cs="Times New Roman"/>
                <w:sz w:val="24"/>
                <w:szCs w:val="24"/>
              </w:rPr>
              <w:fldChar w:fldCharType="end"/>
            </w:r>
          </w:p>
        </w:tc>
        <w:tc>
          <w:tcPr>
            <w:tcW w:w="8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C5E956"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3.8%</w:t>
            </w:r>
            <w:r w:rsidRPr="00EF183C">
              <w:rPr>
                <w:rFonts w:ascii="Times New Roman" w:hAnsi="Times New Roman" w:cs="Times New Roman"/>
                <w:sz w:val="24"/>
                <w:szCs w:val="24"/>
              </w:rPr>
              <w:fldChar w:fldCharType="end"/>
            </w:r>
          </w:p>
        </w:tc>
      </w:tr>
      <w:tr w:rsidR="00E8424D" w:rsidRPr="0038146F" w14:paraId="29AE07A9" w14:textId="77777777">
        <w:trPr>
          <w:trHeight w:val="247"/>
          <w:jc w:val="center"/>
        </w:trPr>
        <w:tc>
          <w:tcPr>
            <w:tcW w:w="8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376DED7F"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14</w:t>
            </w:r>
          </w:p>
        </w:tc>
        <w:tc>
          <w:tcPr>
            <w:tcW w:w="104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0F3CE433"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23</w:t>
            </w: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0B41CF"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30.8</w:t>
            </w:r>
          </w:p>
        </w:tc>
        <w:tc>
          <w:tcPr>
            <w:tcW w:w="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E86E68"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0.4</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E034D7"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0.8</w:t>
            </w:r>
          </w:p>
        </w:tc>
        <w:tc>
          <w:tcPr>
            <w:tcW w:w="9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580AA1"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1.8%</w:t>
            </w:r>
            <w:r w:rsidRPr="00EF183C">
              <w:rPr>
                <w:rFonts w:ascii="Times New Roman" w:hAnsi="Times New Roman" w:cs="Times New Roman"/>
                <w:sz w:val="24"/>
                <w:szCs w:val="24"/>
              </w:rPr>
              <w:fldChar w:fldCharType="end"/>
            </w:r>
          </w:p>
        </w:tc>
        <w:tc>
          <w:tcPr>
            <w:tcW w:w="8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9C7E81"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2.7%</w:t>
            </w:r>
            <w:r w:rsidRPr="00EF183C">
              <w:rPr>
                <w:rFonts w:ascii="Times New Roman" w:hAnsi="Times New Roman" w:cs="Times New Roman"/>
                <w:sz w:val="24"/>
                <w:szCs w:val="24"/>
              </w:rPr>
              <w:fldChar w:fldCharType="end"/>
            </w:r>
          </w:p>
        </w:tc>
      </w:tr>
      <w:tr w:rsidR="00E8424D" w:rsidRPr="0038146F" w14:paraId="60BF1CC6" w14:textId="77777777">
        <w:trPr>
          <w:trHeight w:val="247"/>
          <w:jc w:val="center"/>
        </w:trPr>
        <w:tc>
          <w:tcPr>
            <w:tcW w:w="8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1468AE59"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15</w:t>
            </w:r>
          </w:p>
        </w:tc>
        <w:tc>
          <w:tcPr>
            <w:tcW w:w="104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0EF5388B"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23.5</w:t>
            </w: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86E66A"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31.6</w:t>
            </w:r>
          </w:p>
        </w:tc>
        <w:tc>
          <w:tcPr>
            <w:tcW w:w="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425A03"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0.5</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83CEFA"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0.8</w:t>
            </w:r>
          </w:p>
        </w:tc>
        <w:tc>
          <w:tcPr>
            <w:tcW w:w="9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A814E7"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2.2%</w:t>
            </w:r>
            <w:r w:rsidRPr="00EF183C">
              <w:rPr>
                <w:rFonts w:ascii="Times New Roman" w:hAnsi="Times New Roman" w:cs="Times New Roman"/>
                <w:sz w:val="24"/>
                <w:szCs w:val="24"/>
              </w:rPr>
              <w:fldChar w:fldCharType="end"/>
            </w:r>
          </w:p>
        </w:tc>
        <w:tc>
          <w:tcPr>
            <w:tcW w:w="8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36C8B8"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2.6%</w:t>
            </w:r>
            <w:r w:rsidRPr="00EF183C">
              <w:rPr>
                <w:rFonts w:ascii="Times New Roman" w:hAnsi="Times New Roman" w:cs="Times New Roman"/>
                <w:sz w:val="24"/>
                <w:szCs w:val="24"/>
              </w:rPr>
              <w:fldChar w:fldCharType="end"/>
            </w:r>
          </w:p>
        </w:tc>
      </w:tr>
      <w:tr w:rsidR="00E8424D" w:rsidRPr="0038146F" w14:paraId="28B260A6" w14:textId="77777777">
        <w:trPr>
          <w:trHeight w:val="247"/>
          <w:jc w:val="center"/>
        </w:trPr>
        <w:tc>
          <w:tcPr>
            <w:tcW w:w="8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1EBFC148"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16</w:t>
            </w:r>
          </w:p>
        </w:tc>
        <w:tc>
          <w:tcPr>
            <w:tcW w:w="104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3D66A978"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23.9</w:t>
            </w: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8030EB"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32.1</w:t>
            </w:r>
          </w:p>
        </w:tc>
        <w:tc>
          <w:tcPr>
            <w:tcW w:w="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E1766C"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0.4</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88D8E9"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0.5</w:t>
            </w:r>
          </w:p>
        </w:tc>
        <w:tc>
          <w:tcPr>
            <w:tcW w:w="9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F64E03"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1.7%</w:t>
            </w:r>
            <w:r w:rsidRPr="00EF183C">
              <w:rPr>
                <w:rFonts w:ascii="Times New Roman" w:hAnsi="Times New Roman" w:cs="Times New Roman"/>
                <w:sz w:val="24"/>
                <w:szCs w:val="24"/>
              </w:rPr>
              <w:fldChar w:fldCharType="end"/>
            </w:r>
          </w:p>
        </w:tc>
        <w:tc>
          <w:tcPr>
            <w:tcW w:w="8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1BD475"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1.6%</w:t>
            </w:r>
            <w:r w:rsidRPr="00EF183C">
              <w:rPr>
                <w:rFonts w:ascii="Times New Roman" w:hAnsi="Times New Roman" w:cs="Times New Roman"/>
                <w:sz w:val="24"/>
                <w:szCs w:val="24"/>
              </w:rPr>
              <w:fldChar w:fldCharType="end"/>
            </w:r>
          </w:p>
        </w:tc>
      </w:tr>
      <w:tr w:rsidR="00E8424D" w:rsidRPr="0038146F" w14:paraId="75B63225" w14:textId="77777777">
        <w:trPr>
          <w:trHeight w:val="247"/>
          <w:jc w:val="center"/>
        </w:trPr>
        <w:tc>
          <w:tcPr>
            <w:tcW w:w="8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5E329978"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17</w:t>
            </w:r>
          </w:p>
        </w:tc>
        <w:tc>
          <w:tcPr>
            <w:tcW w:w="104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6367047"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24.1</w:t>
            </w: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7E2BEA"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32.8</w:t>
            </w:r>
          </w:p>
        </w:tc>
        <w:tc>
          <w:tcPr>
            <w:tcW w:w="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67547F"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0.2</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217795"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0.7</w:t>
            </w:r>
          </w:p>
        </w:tc>
        <w:tc>
          <w:tcPr>
            <w:tcW w:w="9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F58690"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0.8%</w:t>
            </w:r>
            <w:r w:rsidRPr="00EF183C">
              <w:rPr>
                <w:rFonts w:ascii="Times New Roman" w:hAnsi="Times New Roman" w:cs="Times New Roman"/>
                <w:sz w:val="24"/>
                <w:szCs w:val="24"/>
              </w:rPr>
              <w:fldChar w:fldCharType="end"/>
            </w:r>
          </w:p>
        </w:tc>
        <w:tc>
          <w:tcPr>
            <w:tcW w:w="8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3830D5"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2.2%</w:t>
            </w:r>
            <w:r w:rsidRPr="00EF183C">
              <w:rPr>
                <w:rFonts w:ascii="Times New Roman" w:hAnsi="Times New Roman" w:cs="Times New Roman"/>
                <w:sz w:val="24"/>
                <w:szCs w:val="24"/>
              </w:rPr>
              <w:fldChar w:fldCharType="end"/>
            </w:r>
          </w:p>
        </w:tc>
      </w:tr>
      <w:tr w:rsidR="00E8424D" w:rsidRPr="0038146F" w14:paraId="00CB090E" w14:textId="77777777">
        <w:trPr>
          <w:trHeight w:val="247"/>
          <w:jc w:val="center"/>
        </w:trPr>
        <w:tc>
          <w:tcPr>
            <w:tcW w:w="8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9AE9C51"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18</w:t>
            </w:r>
          </w:p>
        </w:tc>
        <w:tc>
          <w:tcPr>
            <w:tcW w:w="104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AAFB866"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24.5</w:t>
            </w: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420D40"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33.3</w:t>
            </w:r>
          </w:p>
        </w:tc>
        <w:tc>
          <w:tcPr>
            <w:tcW w:w="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03352D"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0.4</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1BF2F6"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0.5</w:t>
            </w:r>
          </w:p>
        </w:tc>
        <w:tc>
          <w:tcPr>
            <w:tcW w:w="9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44ABB2"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1.7%</w:t>
            </w:r>
            <w:r w:rsidRPr="00EF183C">
              <w:rPr>
                <w:rFonts w:ascii="Times New Roman" w:hAnsi="Times New Roman" w:cs="Times New Roman"/>
                <w:sz w:val="24"/>
                <w:szCs w:val="24"/>
              </w:rPr>
              <w:fldChar w:fldCharType="end"/>
            </w:r>
          </w:p>
        </w:tc>
        <w:tc>
          <w:tcPr>
            <w:tcW w:w="8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7BADE6"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1.5%</w:t>
            </w:r>
            <w:r w:rsidRPr="00EF183C">
              <w:rPr>
                <w:rFonts w:ascii="Times New Roman" w:hAnsi="Times New Roman" w:cs="Times New Roman"/>
                <w:sz w:val="24"/>
                <w:szCs w:val="24"/>
              </w:rPr>
              <w:fldChar w:fldCharType="end"/>
            </w:r>
          </w:p>
        </w:tc>
      </w:tr>
      <w:tr w:rsidR="00E8424D" w:rsidRPr="0038146F" w14:paraId="3AC49A87" w14:textId="77777777">
        <w:trPr>
          <w:trHeight w:val="247"/>
          <w:jc w:val="center"/>
        </w:trPr>
        <w:tc>
          <w:tcPr>
            <w:tcW w:w="8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8270FEB"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19</w:t>
            </w:r>
          </w:p>
        </w:tc>
        <w:tc>
          <w:tcPr>
            <w:tcW w:w="104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D9A6154"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24.8</w:t>
            </w: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94B280"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33.7</w:t>
            </w:r>
          </w:p>
        </w:tc>
        <w:tc>
          <w:tcPr>
            <w:tcW w:w="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9090D9"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0.3</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119F15"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0.4</w:t>
            </w:r>
          </w:p>
        </w:tc>
        <w:tc>
          <w:tcPr>
            <w:tcW w:w="9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10E90F"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1.2%</w:t>
            </w:r>
            <w:r w:rsidRPr="00EF183C">
              <w:rPr>
                <w:rFonts w:ascii="Times New Roman" w:hAnsi="Times New Roman" w:cs="Times New Roman"/>
                <w:sz w:val="24"/>
                <w:szCs w:val="24"/>
              </w:rPr>
              <w:fldChar w:fldCharType="end"/>
            </w:r>
          </w:p>
        </w:tc>
        <w:tc>
          <w:tcPr>
            <w:tcW w:w="8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C9A4D1"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1.2%</w:t>
            </w:r>
            <w:r w:rsidRPr="00EF183C">
              <w:rPr>
                <w:rFonts w:ascii="Times New Roman" w:hAnsi="Times New Roman" w:cs="Times New Roman"/>
                <w:sz w:val="24"/>
                <w:szCs w:val="24"/>
              </w:rPr>
              <w:fldChar w:fldCharType="end"/>
            </w:r>
          </w:p>
        </w:tc>
      </w:tr>
      <w:tr w:rsidR="00E8424D" w:rsidRPr="0038146F" w14:paraId="005E9D2C" w14:textId="77777777">
        <w:trPr>
          <w:trHeight w:val="247"/>
          <w:jc w:val="center"/>
        </w:trPr>
        <w:tc>
          <w:tcPr>
            <w:tcW w:w="8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368F427"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20</w:t>
            </w:r>
          </w:p>
        </w:tc>
        <w:tc>
          <w:tcPr>
            <w:tcW w:w="104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0C6B3E1C"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25.3</w:t>
            </w: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3A65A8"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34.2</w:t>
            </w:r>
          </w:p>
        </w:tc>
        <w:tc>
          <w:tcPr>
            <w:tcW w:w="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5A9B53"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0.5</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0588F5"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0.5</w:t>
            </w:r>
          </w:p>
        </w:tc>
        <w:tc>
          <w:tcPr>
            <w:tcW w:w="9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63F5A0"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2.0%</w:t>
            </w:r>
            <w:r w:rsidRPr="00EF183C">
              <w:rPr>
                <w:rFonts w:ascii="Times New Roman" w:hAnsi="Times New Roman" w:cs="Times New Roman"/>
                <w:sz w:val="24"/>
                <w:szCs w:val="24"/>
              </w:rPr>
              <w:fldChar w:fldCharType="end"/>
            </w:r>
          </w:p>
        </w:tc>
        <w:tc>
          <w:tcPr>
            <w:tcW w:w="8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D2ADB3"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1.5%</w:t>
            </w:r>
            <w:r w:rsidRPr="00EF183C">
              <w:rPr>
                <w:rFonts w:ascii="Times New Roman" w:hAnsi="Times New Roman" w:cs="Times New Roman"/>
                <w:sz w:val="24"/>
                <w:szCs w:val="24"/>
              </w:rPr>
              <w:fldChar w:fldCharType="end"/>
            </w:r>
          </w:p>
        </w:tc>
      </w:tr>
      <w:tr w:rsidR="00E8424D" w:rsidRPr="0038146F" w14:paraId="524AF80C" w14:textId="77777777">
        <w:trPr>
          <w:trHeight w:val="247"/>
          <w:jc w:val="center"/>
        </w:trPr>
        <w:tc>
          <w:tcPr>
            <w:tcW w:w="8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48C05F40"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21</w:t>
            </w:r>
          </w:p>
        </w:tc>
        <w:tc>
          <w:tcPr>
            <w:tcW w:w="104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712F1EC"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25.8</w:t>
            </w: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D79A2A"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34.6</w:t>
            </w:r>
          </w:p>
        </w:tc>
        <w:tc>
          <w:tcPr>
            <w:tcW w:w="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421647"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0.5</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5D4D2E"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0.4</w:t>
            </w:r>
          </w:p>
        </w:tc>
        <w:tc>
          <w:tcPr>
            <w:tcW w:w="9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6697B6"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2.0%</w:t>
            </w:r>
            <w:r w:rsidRPr="00EF183C">
              <w:rPr>
                <w:rFonts w:ascii="Times New Roman" w:hAnsi="Times New Roman" w:cs="Times New Roman"/>
                <w:sz w:val="24"/>
                <w:szCs w:val="24"/>
              </w:rPr>
              <w:fldChar w:fldCharType="end"/>
            </w:r>
          </w:p>
        </w:tc>
        <w:tc>
          <w:tcPr>
            <w:tcW w:w="8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D6C4DC"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1.2%</w:t>
            </w:r>
            <w:r w:rsidRPr="00EF183C">
              <w:rPr>
                <w:rFonts w:ascii="Times New Roman" w:hAnsi="Times New Roman" w:cs="Times New Roman"/>
                <w:sz w:val="24"/>
                <w:szCs w:val="24"/>
              </w:rPr>
              <w:fldChar w:fldCharType="end"/>
            </w:r>
          </w:p>
        </w:tc>
      </w:tr>
      <w:tr w:rsidR="00E8424D" w:rsidRPr="0038146F" w14:paraId="2F78A70F" w14:textId="77777777">
        <w:trPr>
          <w:trHeight w:val="247"/>
          <w:jc w:val="center"/>
        </w:trPr>
        <w:tc>
          <w:tcPr>
            <w:tcW w:w="8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11AD32E"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22</w:t>
            </w:r>
          </w:p>
        </w:tc>
        <w:tc>
          <w:tcPr>
            <w:tcW w:w="104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D2457FE"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26.1</w:t>
            </w: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505B4E"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35.1</w:t>
            </w:r>
          </w:p>
        </w:tc>
        <w:tc>
          <w:tcPr>
            <w:tcW w:w="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CB835F"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0.3</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7BAAA7"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0.5</w:t>
            </w:r>
          </w:p>
        </w:tc>
        <w:tc>
          <w:tcPr>
            <w:tcW w:w="9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4EAC07"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1.2%</w:t>
            </w:r>
            <w:r w:rsidRPr="00EF183C">
              <w:rPr>
                <w:rFonts w:ascii="Times New Roman" w:hAnsi="Times New Roman" w:cs="Times New Roman"/>
                <w:sz w:val="24"/>
                <w:szCs w:val="24"/>
              </w:rPr>
              <w:fldChar w:fldCharType="end"/>
            </w:r>
          </w:p>
        </w:tc>
        <w:tc>
          <w:tcPr>
            <w:tcW w:w="8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2A367A"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1.4%</w:t>
            </w:r>
            <w:r w:rsidRPr="00EF183C">
              <w:rPr>
                <w:rFonts w:ascii="Times New Roman" w:hAnsi="Times New Roman" w:cs="Times New Roman"/>
                <w:sz w:val="24"/>
                <w:szCs w:val="24"/>
              </w:rPr>
              <w:fldChar w:fldCharType="end"/>
            </w:r>
          </w:p>
        </w:tc>
      </w:tr>
      <w:tr w:rsidR="00E8424D" w:rsidRPr="0038146F" w14:paraId="0ECE7FF1" w14:textId="77777777">
        <w:trPr>
          <w:trHeight w:val="247"/>
          <w:jc w:val="center"/>
        </w:trPr>
        <w:tc>
          <w:tcPr>
            <w:tcW w:w="8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42ADC1E4"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23</w:t>
            </w:r>
          </w:p>
        </w:tc>
        <w:tc>
          <w:tcPr>
            <w:tcW w:w="104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EF420B2"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26.5</w:t>
            </w: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97107A"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35.8</w:t>
            </w:r>
          </w:p>
        </w:tc>
        <w:tc>
          <w:tcPr>
            <w:tcW w:w="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5FDA8F"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0.4</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50694E"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0.7</w:t>
            </w:r>
          </w:p>
        </w:tc>
        <w:tc>
          <w:tcPr>
            <w:tcW w:w="9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4A881"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1.5%</w:t>
            </w:r>
            <w:r w:rsidRPr="00EF183C">
              <w:rPr>
                <w:rFonts w:ascii="Times New Roman" w:hAnsi="Times New Roman" w:cs="Times New Roman"/>
                <w:sz w:val="24"/>
                <w:szCs w:val="24"/>
              </w:rPr>
              <w:fldChar w:fldCharType="end"/>
            </w:r>
          </w:p>
        </w:tc>
        <w:tc>
          <w:tcPr>
            <w:tcW w:w="8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214E87"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2.0%</w:t>
            </w:r>
            <w:r w:rsidRPr="00EF183C">
              <w:rPr>
                <w:rFonts w:ascii="Times New Roman" w:hAnsi="Times New Roman" w:cs="Times New Roman"/>
                <w:sz w:val="24"/>
                <w:szCs w:val="24"/>
              </w:rPr>
              <w:fldChar w:fldCharType="end"/>
            </w:r>
          </w:p>
        </w:tc>
      </w:tr>
      <w:tr w:rsidR="00E8424D" w:rsidRPr="0038146F" w14:paraId="2C94E9C0" w14:textId="77777777">
        <w:trPr>
          <w:trHeight w:val="247"/>
          <w:jc w:val="center"/>
        </w:trPr>
        <w:tc>
          <w:tcPr>
            <w:tcW w:w="8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30EED6F"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t>24</w:t>
            </w:r>
          </w:p>
        </w:tc>
        <w:tc>
          <w:tcPr>
            <w:tcW w:w="104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0EB78D99"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26.9</w:t>
            </w: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BFEAFE"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36.3</w:t>
            </w:r>
          </w:p>
        </w:tc>
        <w:tc>
          <w:tcPr>
            <w:tcW w:w="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6E5E6"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0.4</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CE50F1"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t>0.5</w:t>
            </w:r>
          </w:p>
        </w:tc>
        <w:tc>
          <w:tcPr>
            <w:tcW w:w="9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0403B9"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1.5%</w:t>
            </w:r>
            <w:r w:rsidRPr="00EF183C">
              <w:rPr>
                <w:rFonts w:ascii="Times New Roman" w:hAnsi="Times New Roman" w:cs="Times New Roman"/>
                <w:sz w:val="24"/>
                <w:szCs w:val="24"/>
              </w:rPr>
              <w:fldChar w:fldCharType="end"/>
            </w:r>
          </w:p>
        </w:tc>
        <w:tc>
          <w:tcPr>
            <w:tcW w:w="8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0F7F56"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((null))*100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1.4%</w:t>
            </w:r>
            <w:r w:rsidRPr="00EF183C">
              <w:rPr>
                <w:rFonts w:ascii="Times New Roman" w:hAnsi="Times New Roman" w:cs="Times New Roman"/>
                <w:sz w:val="24"/>
                <w:szCs w:val="24"/>
              </w:rPr>
              <w:fldChar w:fldCharType="end"/>
            </w:r>
          </w:p>
        </w:tc>
      </w:tr>
      <w:tr w:rsidR="00E8424D" w:rsidRPr="0038146F" w14:paraId="4DDA358D" w14:textId="77777777">
        <w:trPr>
          <w:trHeight w:val="247"/>
          <w:jc w:val="center"/>
        </w:trPr>
        <w:tc>
          <w:tcPr>
            <w:tcW w:w="8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7D8269E" w14:textId="77777777" w:rsidR="00E8424D" w:rsidRPr="0038146F" w:rsidRDefault="00E8424D"/>
        </w:tc>
        <w:tc>
          <w:tcPr>
            <w:tcW w:w="104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A4E5A41" w14:textId="77777777" w:rsidR="00E8424D" w:rsidRPr="0038146F" w:rsidRDefault="00E8424D"/>
        </w:tc>
        <w:tc>
          <w:tcPr>
            <w:tcW w:w="10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E96E2A" w14:textId="77777777" w:rsidR="00E8424D" w:rsidRPr="0038146F" w:rsidRDefault="00E8424D"/>
        </w:tc>
        <w:tc>
          <w:tcPr>
            <w:tcW w:w="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343971" w14:textId="77777777" w:rsidR="00E8424D" w:rsidRPr="0038146F" w:rsidRDefault="00E8424D"/>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8C8B61" w14:textId="77777777" w:rsidR="00E8424D" w:rsidRPr="0038146F" w:rsidRDefault="00E8424D"/>
        </w:tc>
        <w:tc>
          <w:tcPr>
            <w:tcW w:w="9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CBCE39" w14:textId="77777777" w:rsidR="00E8424D" w:rsidRPr="0038146F" w:rsidRDefault="00E8424D"/>
        </w:tc>
        <w:tc>
          <w:tcPr>
            <w:tcW w:w="8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B32D36" w14:textId="77777777" w:rsidR="00E8424D" w:rsidRPr="0038146F" w:rsidRDefault="00E8424D"/>
        </w:tc>
      </w:tr>
      <w:tr w:rsidR="00E8424D" w:rsidRPr="0038146F" w14:paraId="1394DE6A" w14:textId="77777777">
        <w:trPr>
          <w:trHeight w:val="247"/>
          <w:jc w:val="center"/>
        </w:trPr>
        <w:tc>
          <w:tcPr>
            <w:tcW w:w="86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47454042" w14:textId="77777777" w:rsidR="00E8424D" w:rsidRPr="00EF183C" w:rsidRDefault="001D7EB3">
            <w:pPr>
              <w:pStyle w:val="TableStyle1"/>
              <w:jc w:val="center"/>
              <w:rPr>
                <w:rFonts w:ascii="Times New Roman" w:hAnsi="Times New Roman" w:cs="Times New Roman"/>
                <w:sz w:val="24"/>
                <w:szCs w:val="24"/>
              </w:rPr>
            </w:pPr>
            <w:r w:rsidRPr="00EF183C">
              <w:rPr>
                <w:rFonts w:ascii="Times New Roman" w:hAnsi="Times New Roman" w:cs="Times New Roman"/>
                <w:sz w:val="24"/>
                <w:szCs w:val="24"/>
              </w:rPr>
              <w:lastRenderedPageBreak/>
              <w:t>Average</w:t>
            </w:r>
          </w:p>
        </w:tc>
        <w:tc>
          <w:tcPr>
            <w:tcW w:w="104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46BEFC3E" w14:textId="77777777" w:rsidR="00E8424D" w:rsidRPr="0038146F" w:rsidRDefault="00E8424D"/>
        </w:tc>
        <w:tc>
          <w:tcPr>
            <w:tcW w:w="10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DFAF51" w14:textId="77777777" w:rsidR="00E8424D" w:rsidRPr="0038146F" w:rsidRDefault="00E8424D"/>
        </w:tc>
        <w:tc>
          <w:tcPr>
            <w:tcW w:w="8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557344"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AVERAGE(D4:D24)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0.8</w:t>
            </w:r>
            <w:r w:rsidRPr="00EF183C">
              <w:rPr>
                <w:rFonts w:ascii="Times New Roman" w:hAnsi="Times New Roman" w:cs="Times New Roman"/>
                <w:sz w:val="24"/>
                <w:szCs w:val="24"/>
              </w:rPr>
              <w:fldChar w:fldCharType="end"/>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33E46D" w14:textId="77777777" w:rsidR="00E8424D" w:rsidRPr="00EF183C" w:rsidRDefault="001D7EB3">
            <w:pPr>
              <w:pStyle w:val="TableStyle2"/>
              <w:jc w:val="center"/>
              <w:rPr>
                <w:rFonts w:ascii="Times New Roman" w:hAnsi="Times New Roman" w:cs="Times New Roman"/>
                <w:sz w:val="24"/>
                <w:szCs w:val="24"/>
              </w:rPr>
            </w:pPr>
            <w:r w:rsidRPr="00EF183C">
              <w:rPr>
                <w:rFonts w:ascii="Times New Roman" w:hAnsi="Times New Roman" w:cs="Times New Roman"/>
                <w:sz w:val="24"/>
                <w:szCs w:val="24"/>
              </w:rPr>
              <w:fldChar w:fldCharType="begin"/>
            </w:r>
            <w:r w:rsidRPr="00EF183C">
              <w:rPr>
                <w:rFonts w:ascii="Times New Roman" w:hAnsi="Times New Roman" w:cs="Times New Roman"/>
                <w:sz w:val="24"/>
                <w:szCs w:val="24"/>
              </w:rPr>
              <w:instrText xml:space="preserve"> = AVERAGE(E4:E24) \# "0" \* MERGEFORMAT</w:instrText>
            </w:r>
            <w:r w:rsidRPr="00EF183C">
              <w:rPr>
                <w:rFonts w:ascii="Times New Roman" w:hAnsi="Times New Roman" w:cs="Times New Roman"/>
                <w:sz w:val="24"/>
                <w:szCs w:val="24"/>
              </w:rPr>
              <w:fldChar w:fldCharType="separate"/>
            </w:r>
            <w:r w:rsidRPr="00EF183C">
              <w:rPr>
                <w:rFonts w:ascii="Times New Roman" w:hAnsi="Times New Roman" w:cs="Times New Roman"/>
                <w:sz w:val="24"/>
                <w:szCs w:val="24"/>
              </w:rPr>
              <w:t>1.2</w:t>
            </w:r>
            <w:r w:rsidRPr="00EF183C">
              <w:rPr>
                <w:rFonts w:ascii="Times New Roman" w:hAnsi="Times New Roman" w:cs="Times New Roman"/>
                <w:sz w:val="24"/>
                <w:szCs w:val="24"/>
              </w:rPr>
              <w:fldChar w:fldCharType="end"/>
            </w:r>
          </w:p>
        </w:tc>
        <w:tc>
          <w:tcPr>
            <w:tcW w:w="9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CEF293" w14:textId="77777777" w:rsidR="00E8424D" w:rsidRPr="0038146F" w:rsidRDefault="00E8424D"/>
        </w:tc>
        <w:tc>
          <w:tcPr>
            <w:tcW w:w="8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3CEE75" w14:textId="77777777" w:rsidR="00E8424D" w:rsidRPr="0038146F" w:rsidRDefault="00E8424D"/>
        </w:tc>
      </w:tr>
    </w:tbl>
    <w:p w14:paraId="51254F2A" w14:textId="77777777" w:rsidR="00E8424D" w:rsidRPr="00EF183C" w:rsidRDefault="00E8424D">
      <w:pPr>
        <w:pStyle w:val="Body"/>
        <w:jc w:val="center"/>
        <w:rPr>
          <w:rFonts w:ascii="Times New Roman" w:hAnsi="Times New Roman" w:cs="Times New Roman"/>
        </w:rPr>
      </w:pPr>
    </w:p>
    <w:sectPr w:rsidR="00E8424D" w:rsidRPr="00EF183C">
      <w:headerReference w:type="default" r:id="rId31"/>
      <w:footerReference w:type="default" r:id="rId3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1548" w14:textId="77777777" w:rsidR="00A80DF9" w:rsidRDefault="00A80DF9">
      <w:r>
        <w:separator/>
      </w:r>
    </w:p>
  </w:endnote>
  <w:endnote w:type="continuationSeparator" w:id="0">
    <w:p w14:paraId="37B497E0" w14:textId="77777777" w:rsidR="00A80DF9" w:rsidRDefault="00A8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5319" w14:textId="77777777" w:rsidR="00E8424D" w:rsidRDefault="001D7EB3">
    <w:pPr>
      <w:pStyle w:val="HeaderFooter"/>
      <w:tabs>
        <w:tab w:val="clear" w:pos="9020"/>
        <w:tab w:val="center" w:pos="4680"/>
        <w:tab w:val="right" w:pos="9360"/>
      </w:tabs>
    </w:pPr>
    <w:r>
      <w:rPr>
        <w:b/>
        <w:bCs/>
        <w:sz w:val="24"/>
        <w:szCs w:val="24"/>
      </w:rPr>
      <w:tab/>
    </w:r>
    <w:r>
      <w:rPr>
        <w:b/>
        <w:bCs/>
        <w:sz w:val="24"/>
        <w:szCs w:val="24"/>
      </w:rPr>
      <w:tab/>
    </w:r>
    <w:r>
      <w:rPr>
        <w:b/>
        <w:bCs/>
        <w:sz w:val="24"/>
        <w:szCs w:val="24"/>
      </w:rPr>
      <w:fldChar w:fldCharType="begin"/>
    </w:r>
    <w:r>
      <w:rPr>
        <w:b/>
        <w:bCs/>
        <w:sz w:val="24"/>
        <w:szCs w:val="24"/>
      </w:rPr>
      <w:instrText xml:space="preserve"> PAGE </w:instrText>
    </w:r>
    <w:r>
      <w:rPr>
        <w:b/>
        <w:bCs/>
        <w:sz w:val="24"/>
        <w:szCs w:val="24"/>
      </w:rPr>
      <w:fldChar w:fldCharType="separate"/>
    </w:r>
    <w:r w:rsidR="00095AE4">
      <w:rPr>
        <w:b/>
        <w:bCs/>
        <w:noProof/>
        <w:sz w:val="24"/>
        <w:szCs w:val="24"/>
      </w:rPr>
      <w:t>1</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F4415" w14:textId="77777777" w:rsidR="00A80DF9" w:rsidRDefault="00A80DF9">
      <w:r>
        <w:separator/>
      </w:r>
    </w:p>
  </w:footnote>
  <w:footnote w:type="continuationSeparator" w:id="0">
    <w:p w14:paraId="3401C4BF" w14:textId="77777777" w:rsidR="00A80DF9" w:rsidRDefault="00A80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6619" w14:textId="77777777" w:rsidR="00F33818" w:rsidRDefault="00F33818" w:rsidP="00F33818">
    <w:pPr>
      <w:pStyle w:val="HeaderFooter"/>
      <w:keepNext/>
      <w:tabs>
        <w:tab w:val="clear" w:pos="9020"/>
        <w:tab w:val="center" w:pos="4680"/>
        <w:tab w:val="right" w:pos="9360"/>
      </w:tabs>
      <w:jc w:val="center"/>
    </w:pPr>
    <w:r>
      <w:t>University of California, Merced</w:t>
    </w:r>
  </w:p>
  <w:p w14:paraId="2FBDCEA2" w14:textId="77777777" w:rsidR="00F33818" w:rsidRDefault="00F33818" w:rsidP="00F33818">
    <w:pPr>
      <w:pStyle w:val="HeaderFooter"/>
      <w:keepNext/>
      <w:tabs>
        <w:tab w:val="clear" w:pos="9020"/>
        <w:tab w:val="center" w:pos="4680"/>
        <w:tab w:val="right" w:pos="9360"/>
      </w:tabs>
      <w:jc w:val="center"/>
    </w:pPr>
    <w:r>
      <w:t>Institutional Animal Care and Use Committee Policy</w:t>
    </w:r>
  </w:p>
  <w:p w14:paraId="1FACF8F1" w14:textId="794A0ECB" w:rsidR="00F33818" w:rsidRDefault="00F33818" w:rsidP="00F33818">
    <w:pPr>
      <w:pStyle w:val="HeaderFooter"/>
      <w:keepNext/>
      <w:tabs>
        <w:tab w:val="clear" w:pos="9020"/>
        <w:tab w:val="center" w:pos="4680"/>
        <w:tab w:val="left" w:pos="5455"/>
        <w:tab w:val="right" w:pos="9360"/>
      </w:tabs>
    </w:pPr>
    <w:r>
      <w:t>Version No. 1</w:t>
    </w:r>
    <w:r>
      <w:tab/>
    </w:r>
    <w:r>
      <w:tab/>
    </w:r>
    <w:r>
      <w:tab/>
      <w:t>Policy No. 117</w:t>
    </w:r>
  </w:p>
  <w:p w14:paraId="49D6F218" w14:textId="77777777" w:rsidR="00F33818" w:rsidRDefault="00F33818" w:rsidP="00F33818">
    <w:pPr>
      <w:pStyle w:val="HeaderFooter"/>
      <w:keepNext/>
      <w:tabs>
        <w:tab w:val="clear" w:pos="9020"/>
        <w:tab w:val="center" w:pos="4680"/>
        <w:tab w:val="right" w:pos="9360"/>
      </w:tabs>
    </w:pPr>
  </w:p>
  <w:p w14:paraId="5A8A0ED5" w14:textId="77BF2FDF" w:rsidR="00E8424D" w:rsidRDefault="00E8424D">
    <w:pPr>
      <w:pStyle w:val="HeaderFooter"/>
      <w:tabs>
        <w:tab w:val="clear" w:pos="902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D5BF5"/>
    <w:multiLevelType w:val="hybridMultilevel"/>
    <w:tmpl w:val="11483BD2"/>
    <w:lvl w:ilvl="0" w:tplc="5AAA7D08">
      <w:start w:val="1"/>
      <w:numFmt w:val="bullet"/>
      <w:lvlText w:val="•"/>
      <w:lvlJc w:val="left"/>
      <w:pPr>
        <w:ind w:left="196"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9EA4860">
      <w:start w:val="1"/>
      <w:numFmt w:val="bullet"/>
      <w:lvlText w:val="•"/>
      <w:lvlJc w:val="left"/>
      <w:pPr>
        <w:ind w:left="916"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9C86FEA">
      <w:start w:val="1"/>
      <w:numFmt w:val="bullet"/>
      <w:lvlText w:val="•"/>
      <w:lvlJc w:val="left"/>
      <w:pPr>
        <w:ind w:left="1636"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1EA4DA0">
      <w:start w:val="1"/>
      <w:numFmt w:val="bullet"/>
      <w:lvlText w:val="•"/>
      <w:lvlJc w:val="left"/>
      <w:pPr>
        <w:ind w:left="2356"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FA46B2E">
      <w:start w:val="1"/>
      <w:numFmt w:val="bullet"/>
      <w:lvlText w:val="•"/>
      <w:lvlJc w:val="left"/>
      <w:pPr>
        <w:ind w:left="3076"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C6CC3D6">
      <w:start w:val="1"/>
      <w:numFmt w:val="bullet"/>
      <w:lvlText w:val="•"/>
      <w:lvlJc w:val="left"/>
      <w:pPr>
        <w:ind w:left="3796"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0BC770A">
      <w:start w:val="1"/>
      <w:numFmt w:val="bullet"/>
      <w:lvlText w:val="•"/>
      <w:lvlJc w:val="left"/>
      <w:pPr>
        <w:ind w:left="4516"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AD69726">
      <w:start w:val="1"/>
      <w:numFmt w:val="bullet"/>
      <w:lvlText w:val="•"/>
      <w:lvlJc w:val="left"/>
      <w:pPr>
        <w:ind w:left="5236"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FB24E64">
      <w:start w:val="1"/>
      <w:numFmt w:val="bullet"/>
      <w:lvlText w:val="•"/>
      <w:lvlJc w:val="left"/>
      <w:pPr>
        <w:ind w:left="5956"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D4019FA"/>
    <w:multiLevelType w:val="hybridMultilevel"/>
    <w:tmpl w:val="6038D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4D378"/>
    <w:multiLevelType w:val="hybridMultilevel"/>
    <w:tmpl w:val="B808BE24"/>
    <w:lvl w:ilvl="0" w:tplc="15582C1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E6369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E2E22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006F81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A449F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38B68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00CAEF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486D8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9E4EEC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23736C6"/>
    <w:multiLevelType w:val="hybridMultilevel"/>
    <w:tmpl w:val="F918D11A"/>
    <w:styleLink w:val="Bullet"/>
    <w:lvl w:ilvl="0" w:tplc="85940D2E">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FDC88298">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6A28E55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E3A6A4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0F60EB6">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7641842">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FC304C30">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46F6B94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8354AE1C">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7A26545E"/>
    <w:multiLevelType w:val="hybridMultilevel"/>
    <w:tmpl w:val="F918D11A"/>
    <w:numStyleLink w:val="Bullet"/>
  </w:abstractNum>
  <w:num w:numId="1" w16cid:durableId="850337278">
    <w:abstractNumId w:val="3"/>
  </w:num>
  <w:num w:numId="2" w16cid:durableId="1186748767">
    <w:abstractNumId w:val="4"/>
  </w:num>
  <w:num w:numId="3" w16cid:durableId="1766343727">
    <w:abstractNumId w:val="0"/>
  </w:num>
  <w:num w:numId="4" w16cid:durableId="43871667">
    <w:abstractNumId w:val="1"/>
  </w:num>
  <w:num w:numId="5" w16cid:durableId="1085304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24D"/>
    <w:rsid w:val="00002C4A"/>
    <w:rsid w:val="00047E01"/>
    <w:rsid w:val="00095AE4"/>
    <w:rsid w:val="00104C39"/>
    <w:rsid w:val="001D507B"/>
    <w:rsid w:val="001D7EB3"/>
    <w:rsid w:val="00325973"/>
    <w:rsid w:val="0038146F"/>
    <w:rsid w:val="00594E97"/>
    <w:rsid w:val="005C4EF7"/>
    <w:rsid w:val="00672F46"/>
    <w:rsid w:val="00775681"/>
    <w:rsid w:val="00840768"/>
    <w:rsid w:val="008A38AE"/>
    <w:rsid w:val="00A149D7"/>
    <w:rsid w:val="00A80DF9"/>
    <w:rsid w:val="00B32C5E"/>
    <w:rsid w:val="00B93DFE"/>
    <w:rsid w:val="00B95218"/>
    <w:rsid w:val="00CC3177"/>
    <w:rsid w:val="00DD35B3"/>
    <w:rsid w:val="00DE70CC"/>
    <w:rsid w:val="00E15D3D"/>
    <w:rsid w:val="00E8424D"/>
    <w:rsid w:val="00EB6769"/>
    <w:rsid w:val="00EB712A"/>
    <w:rsid w:val="00EF183C"/>
    <w:rsid w:val="00F33818"/>
    <w:rsid w:val="0A2073DF"/>
    <w:rsid w:val="13F5C3DA"/>
    <w:rsid w:val="1F100CCC"/>
    <w:rsid w:val="1F7BE4B7"/>
    <w:rsid w:val="24A87CF8"/>
    <w:rsid w:val="333BFBF6"/>
    <w:rsid w:val="45045C5C"/>
    <w:rsid w:val="502101ED"/>
    <w:rsid w:val="532C107E"/>
    <w:rsid w:val="579FC2AA"/>
    <w:rsid w:val="64A02B48"/>
    <w:rsid w:val="65FBCA17"/>
    <w:rsid w:val="67AE5E90"/>
    <w:rsid w:val="69AE48EF"/>
    <w:rsid w:val="6EADF2FA"/>
    <w:rsid w:val="75F2FDA3"/>
    <w:rsid w:val="7FB2A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1BF3FD"/>
  <w15:docId w15:val="{D0A295FF-6859-0447-9C4E-115481DF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Garamond" w:hAnsi="Garamond" w:cs="Arial Unicode MS"/>
      <w:color w:val="000000"/>
      <w:sz w:val="26"/>
      <w:szCs w:val="26"/>
      <w14:textOutline w14:w="0" w14:cap="flat" w14:cmpd="sng" w14:algn="ctr">
        <w14:noFill/>
        <w14:prstDash w14:val="solid"/>
        <w14:bevel/>
      </w14:textOutline>
    </w:rPr>
  </w:style>
  <w:style w:type="paragraph" w:customStyle="1" w:styleId="Body">
    <w:name w:val="Body"/>
    <w:rPr>
      <w:rFonts w:ascii="Garamond" w:hAnsi="Garamond"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1"/>
      </w:numPr>
    </w:pPr>
  </w:style>
  <w:style w:type="paragraph" w:customStyle="1" w:styleId="TableStyle1">
    <w:name w:val="Table Style 1"/>
    <w:rPr>
      <w:rFonts w:ascii="Garamond" w:eastAsia="Garamond" w:hAnsi="Garamond" w:cs="Garamond"/>
      <w:b/>
      <w:bCs/>
      <w:color w:val="000000"/>
      <w:sz w:val="22"/>
      <w:szCs w:val="22"/>
      <w14:textOutline w14:w="0" w14:cap="flat" w14:cmpd="sng" w14:algn="ctr">
        <w14:noFill/>
        <w14:prstDash w14:val="solid"/>
        <w14:bevel/>
      </w14:textOutline>
    </w:rPr>
  </w:style>
  <w:style w:type="paragraph" w:customStyle="1" w:styleId="TableStyle2">
    <w:name w:val="Table Style 2"/>
    <w:rPr>
      <w:rFonts w:ascii="Garamond" w:eastAsia="Garamond" w:hAnsi="Garamond" w:cs="Garamond"/>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Garamond" w:eastAsia="Garamond" w:hAnsi="Garamond" w:cs="Garamond"/>
      <w:color w:val="000000"/>
      <w:sz w:val="26"/>
      <w:szCs w:val="26"/>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47E0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047E01"/>
    <w:rPr>
      <w:b/>
      <w:bCs/>
    </w:rPr>
  </w:style>
  <w:style w:type="character" w:customStyle="1" w:styleId="CommentSubjectChar">
    <w:name w:val="Comment Subject Char"/>
    <w:basedOn w:val="CommentTextChar"/>
    <w:link w:val="CommentSubject"/>
    <w:uiPriority w:val="99"/>
    <w:semiHidden/>
    <w:rsid w:val="00047E01"/>
    <w:rPr>
      <w:b/>
      <w:bCs/>
    </w:rPr>
  </w:style>
  <w:style w:type="paragraph" w:styleId="Header">
    <w:name w:val="header"/>
    <w:basedOn w:val="Normal"/>
    <w:link w:val="HeaderChar"/>
    <w:uiPriority w:val="99"/>
    <w:unhideWhenUsed/>
    <w:rsid w:val="00CC3177"/>
    <w:pPr>
      <w:tabs>
        <w:tab w:val="center" w:pos="4680"/>
        <w:tab w:val="right" w:pos="9360"/>
      </w:tabs>
    </w:pPr>
  </w:style>
  <w:style w:type="character" w:customStyle="1" w:styleId="HeaderChar">
    <w:name w:val="Header Char"/>
    <w:basedOn w:val="DefaultParagraphFont"/>
    <w:link w:val="Header"/>
    <w:uiPriority w:val="99"/>
    <w:rsid w:val="00CC3177"/>
    <w:rPr>
      <w:sz w:val="24"/>
      <w:szCs w:val="24"/>
    </w:rPr>
  </w:style>
  <w:style w:type="paragraph" w:styleId="Footer">
    <w:name w:val="footer"/>
    <w:basedOn w:val="Normal"/>
    <w:link w:val="FooterChar"/>
    <w:uiPriority w:val="99"/>
    <w:unhideWhenUsed/>
    <w:rsid w:val="00CC3177"/>
    <w:pPr>
      <w:tabs>
        <w:tab w:val="center" w:pos="4680"/>
        <w:tab w:val="right" w:pos="9360"/>
      </w:tabs>
    </w:pPr>
  </w:style>
  <w:style w:type="character" w:customStyle="1" w:styleId="FooterChar">
    <w:name w:val="Footer Char"/>
    <w:basedOn w:val="DefaultParagraphFont"/>
    <w:link w:val="Footer"/>
    <w:uiPriority w:val="99"/>
    <w:rsid w:val="00CC3177"/>
    <w:rPr>
      <w:sz w:val="24"/>
      <w:szCs w:val="24"/>
    </w:rPr>
  </w:style>
  <w:style w:type="paragraph" w:customStyle="1" w:styleId="Body0">
    <w:name w:val="Body0"/>
    <w:rsid w:val="00A149D7"/>
    <w:rPr>
      <w:rFonts w:ascii="Garamond" w:hAnsi="Garamond"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18" Type="http://schemas.openxmlformats.org/officeDocument/2006/relationships/hyperlink" Target="https://pubmed.ncbi.nlm.nih.gov/1576081/" TargetMode="External"/><Relationship Id="rId26" Type="http://schemas.openxmlformats.org/officeDocument/2006/relationships/hyperlink" Target="https://pubmed.ncbi.nlm.nih.gov/9150492/" TargetMode="External"/><Relationship Id="rId3" Type="http://schemas.openxmlformats.org/officeDocument/2006/relationships/settings" Target="settings.xml"/><Relationship Id="rId21" Type="http://schemas.openxmlformats.org/officeDocument/2006/relationships/hyperlink" Target="https://pubmed.ncbi.nlm.nih.gov/24326222/" TargetMode="External"/><Relationship Id="rId34" Type="http://schemas.openxmlformats.org/officeDocument/2006/relationships/theme" Target="theme/theme1.xml"/><Relationship Id="rId7" Type="http://schemas.openxmlformats.org/officeDocument/2006/relationships/hyperlink" Target="https://www.aaalac.org/accreditation-program/faqs/#B3" TargetMode="External"/><Relationship Id="rId17" Type="http://schemas.openxmlformats.org/officeDocument/2006/relationships/hyperlink" Target="https://pubmed.ncbi.nlm.nih.gov/28629317/" TargetMode="External"/><Relationship Id="rId25" Type="http://schemas.openxmlformats.org/officeDocument/2006/relationships/hyperlink" Target="https://pubmed.ncbi.nlm.nih.gov/2277604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ubmed.ncbi.nlm.nih.gov/22776049/" TargetMode="External"/><Relationship Id="rId20" Type="http://schemas.openxmlformats.org/officeDocument/2006/relationships/hyperlink" Target="https://pubmed.ncbi.nlm.nih.gov/22330575/" TargetMode="External"/><Relationship Id="rId29"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s://pubmed.ncbi.nlm.nih.gov/29476115/"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ubmed.ncbi.nlm.nih.gov/20587157/" TargetMode="External"/><Relationship Id="rId23" Type="http://schemas.openxmlformats.org/officeDocument/2006/relationships/hyperlink" Target="https://pubmed.ncbi.nlm.nih.gov/30054760/" TargetMode="External"/><Relationship Id="rId28" Type="http://schemas.openxmlformats.org/officeDocument/2006/relationships/chart" Target="charts/chart1.xml"/><Relationship Id="rId19" Type="http://schemas.openxmlformats.org/officeDocument/2006/relationships/hyperlink" Target="https://pubmed.ncbi.nlm.nih.gov/9718473/"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20.png"/><Relationship Id="rId22" Type="http://schemas.openxmlformats.org/officeDocument/2006/relationships/hyperlink" Target="https://pubmed.ncbi.nlm.nih.gov/12689423/" TargetMode="External"/><Relationship Id="rId27" Type="http://schemas.openxmlformats.org/officeDocument/2006/relationships/hyperlink" Target="https://www.aaalac.org/accreditation-program/faqs/" TargetMode="External"/><Relationship Id="rId30"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080" b="1" i="0" u="none" strike="noStrike">
                <a:solidFill>
                  <a:srgbClr val="000000"/>
                </a:solidFill>
                <a:latin typeface="Garamond"/>
              </a:defRPr>
            </a:pPr>
            <a:r>
              <a:rPr lang="en-US" sz="1080" b="1" i="0" u="none" strike="noStrike">
                <a:solidFill>
                  <a:srgbClr val="000000"/>
                </a:solidFill>
                <a:latin typeface="Garamond"/>
              </a:rPr>
              <a:t>C57BL/6J Body Weight</a:t>
            </a:r>
          </a:p>
        </c:rich>
      </c:tx>
      <c:layout>
        <c:manualLayout>
          <c:xMode val="edge"/>
          <c:yMode val="edge"/>
          <c:x val="0.228634"/>
          <c:y val="0"/>
          <c:w val="0.33214100000000002"/>
          <c:h val="0.116546"/>
        </c:manualLayout>
      </c:layout>
      <c:overlay val="1"/>
      <c:spPr>
        <a:noFill/>
        <a:effectLst/>
      </c:spPr>
    </c:title>
    <c:autoTitleDeleted val="0"/>
    <c:plotArea>
      <c:layout>
        <c:manualLayout>
          <c:layoutTarget val="inner"/>
          <c:xMode val="edge"/>
          <c:yMode val="edge"/>
          <c:x val="0.105105"/>
          <c:y val="0.116546"/>
          <c:w val="0.67699100000000001"/>
          <c:h val="0.70639799999999997"/>
        </c:manualLayout>
      </c:layout>
      <c:lineChart>
        <c:grouping val="standard"/>
        <c:varyColors val="0"/>
        <c:ser>
          <c:idx val="0"/>
          <c:order val="0"/>
          <c:tx>
            <c:strRef>
              <c:f>Sheet1!$B$1</c:f>
              <c:strCache>
                <c:ptCount val="1"/>
                <c:pt idx="0">
                  <c:v>Female</c:v>
                </c:pt>
              </c:strCache>
            </c:strRef>
          </c:tx>
          <c:spPr>
            <a:ln w="50800" cap="flat">
              <a:solidFill>
                <a:schemeClr val="accent1"/>
              </a:solidFill>
              <a:prstDash val="solid"/>
              <a:miter lim="400000"/>
            </a:ln>
            <a:effectLst/>
          </c:spPr>
          <c:marker>
            <c:symbol val="none"/>
          </c:marker>
          <c:cat>
            <c:strRef>
              <c:f>Sheet1!$A$2:$A$23</c:f>
              <c:strCache>
                <c:ptCount val="22"/>
                <c:pt idx="0">
                  <c:v>3</c:v>
                </c:pt>
                <c:pt idx="2">
                  <c:v>5</c:v>
                </c:pt>
                <c:pt idx="4">
                  <c:v>7</c:v>
                </c:pt>
                <c:pt idx="6">
                  <c:v>9</c:v>
                </c:pt>
                <c:pt idx="8">
                  <c:v>11</c:v>
                </c:pt>
                <c:pt idx="10">
                  <c:v>13</c:v>
                </c:pt>
                <c:pt idx="12">
                  <c:v>15</c:v>
                </c:pt>
                <c:pt idx="14">
                  <c:v>17</c:v>
                </c:pt>
                <c:pt idx="16">
                  <c:v>19</c:v>
                </c:pt>
                <c:pt idx="18">
                  <c:v>21</c:v>
                </c:pt>
                <c:pt idx="20">
                  <c:v>23</c:v>
                </c:pt>
              </c:strCache>
            </c:strRef>
          </c:cat>
          <c:val>
            <c:numRef>
              <c:f>Sheet1!$B$2:$B$23</c:f>
              <c:numCache>
                <c:formatCode>General</c:formatCode>
                <c:ptCount val="22"/>
                <c:pt idx="0">
                  <c:v>10.1</c:v>
                </c:pt>
                <c:pt idx="1">
                  <c:v>14.7</c:v>
                </c:pt>
                <c:pt idx="2">
                  <c:v>17.8</c:v>
                </c:pt>
                <c:pt idx="3">
                  <c:v>18.5</c:v>
                </c:pt>
                <c:pt idx="4">
                  <c:v>19</c:v>
                </c:pt>
                <c:pt idx="5">
                  <c:v>19.600000000000001</c:v>
                </c:pt>
                <c:pt idx="6">
                  <c:v>20.3</c:v>
                </c:pt>
                <c:pt idx="7">
                  <c:v>20.7</c:v>
                </c:pt>
                <c:pt idx="8">
                  <c:v>21.3</c:v>
                </c:pt>
                <c:pt idx="9">
                  <c:v>21.9</c:v>
                </c:pt>
                <c:pt idx="10">
                  <c:v>22.6</c:v>
                </c:pt>
                <c:pt idx="11">
                  <c:v>23</c:v>
                </c:pt>
                <c:pt idx="12">
                  <c:v>23.5</c:v>
                </c:pt>
                <c:pt idx="13">
                  <c:v>23.9</c:v>
                </c:pt>
                <c:pt idx="14">
                  <c:v>24.1</c:v>
                </c:pt>
                <c:pt idx="15">
                  <c:v>24.5</c:v>
                </c:pt>
                <c:pt idx="16">
                  <c:v>24.8</c:v>
                </c:pt>
                <c:pt idx="17">
                  <c:v>25.3</c:v>
                </c:pt>
                <c:pt idx="18">
                  <c:v>25.8</c:v>
                </c:pt>
                <c:pt idx="19">
                  <c:v>26.1</c:v>
                </c:pt>
                <c:pt idx="20">
                  <c:v>26.5</c:v>
                </c:pt>
                <c:pt idx="21">
                  <c:v>26.9</c:v>
                </c:pt>
              </c:numCache>
            </c:numRef>
          </c:val>
          <c:smooth val="0"/>
          <c:extLst>
            <c:ext xmlns:c16="http://schemas.microsoft.com/office/drawing/2014/chart" uri="{C3380CC4-5D6E-409C-BE32-E72D297353CC}">
              <c16:uniqueId val="{00000000-58E3-2C45-81A5-EFEF8CFF44E9}"/>
            </c:ext>
          </c:extLst>
        </c:ser>
        <c:ser>
          <c:idx val="1"/>
          <c:order val="1"/>
          <c:tx>
            <c:strRef>
              <c:f>Sheet1!$C$1</c:f>
              <c:strCache>
                <c:ptCount val="1"/>
                <c:pt idx="0">
                  <c:v>Male</c:v>
                </c:pt>
              </c:strCache>
            </c:strRef>
          </c:tx>
          <c:spPr>
            <a:ln w="50800" cap="flat">
              <a:solidFill>
                <a:schemeClr val="accent3"/>
              </a:solidFill>
              <a:prstDash val="solid"/>
              <a:miter lim="400000"/>
            </a:ln>
            <a:effectLst/>
          </c:spPr>
          <c:marker>
            <c:symbol val="none"/>
          </c:marker>
          <c:cat>
            <c:strRef>
              <c:f>Sheet1!$A$2:$A$23</c:f>
              <c:strCache>
                <c:ptCount val="22"/>
                <c:pt idx="0">
                  <c:v>3</c:v>
                </c:pt>
                <c:pt idx="2">
                  <c:v>5</c:v>
                </c:pt>
                <c:pt idx="4">
                  <c:v>7</c:v>
                </c:pt>
                <c:pt idx="6">
                  <c:v>9</c:v>
                </c:pt>
                <c:pt idx="8">
                  <c:v>11</c:v>
                </c:pt>
                <c:pt idx="10">
                  <c:v>13</c:v>
                </c:pt>
                <c:pt idx="12">
                  <c:v>15</c:v>
                </c:pt>
                <c:pt idx="14">
                  <c:v>17</c:v>
                </c:pt>
                <c:pt idx="16">
                  <c:v>19</c:v>
                </c:pt>
                <c:pt idx="18">
                  <c:v>21</c:v>
                </c:pt>
                <c:pt idx="20">
                  <c:v>23</c:v>
                </c:pt>
              </c:strCache>
            </c:strRef>
          </c:cat>
          <c:val>
            <c:numRef>
              <c:f>Sheet1!$C$2:$C$23</c:f>
              <c:numCache>
                <c:formatCode>General</c:formatCode>
                <c:ptCount val="22"/>
                <c:pt idx="0">
                  <c:v>10.6</c:v>
                </c:pt>
                <c:pt idx="1">
                  <c:v>16.5</c:v>
                </c:pt>
                <c:pt idx="2">
                  <c:v>20.7</c:v>
                </c:pt>
                <c:pt idx="3">
                  <c:v>21.9</c:v>
                </c:pt>
                <c:pt idx="4">
                  <c:v>23.6</c:v>
                </c:pt>
                <c:pt idx="5">
                  <c:v>25</c:v>
                </c:pt>
                <c:pt idx="6">
                  <c:v>26.1</c:v>
                </c:pt>
                <c:pt idx="7">
                  <c:v>26.9</c:v>
                </c:pt>
                <c:pt idx="8">
                  <c:v>27.7</c:v>
                </c:pt>
                <c:pt idx="9">
                  <c:v>28.9</c:v>
                </c:pt>
                <c:pt idx="10">
                  <c:v>30</c:v>
                </c:pt>
                <c:pt idx="11">
                  <c:v>30.8</c:v>
                </c:pt>
                <c:pt idx="12">
                  <c:v>31.6</c:v>
                </c:pt>
                <c:pt idx="13">
                  <c:v>32.1</c:v>
                </c:pt>
                <c:pt idx="14">
                  <c:v>32.799999999999997</c:v>
                </c:pt>
                <c:pt idx="15">
                  <c:v>33.299999999999997</c:v>
                </c:pt>
                <c:pt idx="16">
                  <c:v>33.700000000000003</c:v>
                </c:pt>
                <c:pt idx="17">
                  <c:v>34.200000000000003</c:v>
                </c:pt>
                <c:pt idx="18">
                  <c:v>34.6</c:v>
                </c:pt>
                <c:pt idx="19">
                  <c:v>35.1</c:v>
                </c:pt>
                <c:pt idx="20">
                  <c:v>35.799999999999997</c:v>
                </c:pt>
                <c:pt idx="21">
                  <c:v>36.299999999999997</c:v>
                </c:pt>
              </c:numCache>
            </c:numRef>
          </c:val>
          <c:smooth val="0"/>
          <c:extLst>
            <c:ext xmlns:c16="http://schemas.microsoft.com/office/drawing/2014/chart" uri="{C3380CC4-5D6E-409C-BE32-E72D297353CC}">
              <c16:uniqueId val="{00000001-58E3-2C45-81A5-EFEF8CFF44E9}"/>
            </c:ext>
          </c:extLst>
        </c:ser>
        <c:dLbls>
          <c:showLegendKey val="0"/>
          <c:showVal val="0"/>
          <c:showCatName val="0"/>
          <c:showSerName val="0"/>
          <c:showPercent val="0"/>
          <c:showBubbleSize val="0"/>
        </c:dLbls>
        <c:smooth val="0"/>
        <c:axId val="2094734552"/>
        <c:axId val="2094734553"/>
      </c:lineChart>
      <c:catAx>
        <c:axId val="2094734552"/>
        <c:scaling>
          <c:orientation val="minMax"/>
        </c:scaling>
        <c:delete val="0"/>
        <c:axPos val="b"/>
        <c:title>
          <c:tx>
            <c:rich>
              <a:bodyPr rot="0"/>
              <a:lstStyle/>
              <a:p>
                <a:pPr>
                  <a:defRPr sz="900" b="0" i="0" u="none" strike="noStrike">
                    <a:solidFill>
                      <a:srgbClr val="000000"/>
                    </a:solidFill>
                    <a:latin typeface="Garamond"/>
                  </a:defRPr>
                </a:pPr>
                <a:r>
                  <a:rPr lang="en-US" sz="900" b="0" i="0" u="none" strike="noStrike">
                    <a:solidFill>
                      <a:srgbClr val="000000"/>
                    </a:solidFill>
                    <a:latin typeface="Garamond"/>
                  </a:rPr>
                  <a:t>Age (weeks)</a:t>
                </a:r>
              </a:p>
            </c:rich>
          </c:tx>
          <c:overlay val="1"/>
        </c:title>
        <c:numFmt formatCode="General" sourceLinked="0"/>
        <c:majorTickMark val="cross"/>
        <c:minorTickMark val="none"/>
        <c:tickLblPos val="low"/>
        <c:spPr>
          <a:ln w="12700" cap="flat">
            <a:solidFill>
              <a:srgbClr val="000000"/>
            </a:solidFill>
            <a:prstDash val="solid"/>
            <a:miter lim="400000"/>
          </a:ln>
        </c:spPr>
        <c:txPr>
          <a:bodyPr rot="0"/>
          <a:lstStyle/>
          <a:p>
            <a:pPr>
              <a:defRPr sz="900" b="0" i="0" u="none" strike="noStrike">
                <a:solidFill>
                  <a:srgbClr val="000000"/>
                </a:solidFill>
                <a:latin typeface="Garamond"/>
              </a:defRPr>
            </a:pPr>
            <a:endParaRPr lang="en-US"/>
          </a:p>
        </c:txPr>
        <c:crossAx val="2094734553"/>
        <c:crosses val="autoZero"/>
        <c:auto val="1"/>
        <c:lblAlgn val="ctr"/>
        <c:lblOffset val="100"/>
        <c:noMultiLvlLbl val="1"/>
      </c:catAx>
      <c:valAx>
        <c:axId val="2094734553"/>
        <c:scaling>
          <c:orientation val="minMax"/>
        </c:scaling>
        <c:delete val="0"/>
        <c:axPos val="l"/>
        <c:majorGridlines>
          <c:spPr>
            <a:ln w="6350" cap="flat">
              <a:solidFill>
                <a:srgbClr val="B8B8B8"/>
              </a:solidFill>
              <a:prstDash val="solid"/>
              <a:miter lim="400000"/>
            </a:ln>
          </c:spPr>
        </c:majorGridlines>
        <c:title>
          <c:tx>
            <c:rich>
              <a:bodyPr rot="-5400000"/>
              <a:lstStyle/>
              <a:p>
                <a:pPr>
                  <a:defRPr sz="900" b="0" i="0" u="none" strike="noStrike">
                    <a:solidFill>
                      <a:srgbClr val="000000"/>
                    </a:solidFill>
                    <a:latin typeface="Garamond"/>
                  </a:defRPr>
                </a:pPr>
                <a:r>
                  <a:rPr lang="en-US" sz="900" b="0" i="0" u="none" strike="noStrike">
                    <a:solidFill>
                      <a:srgbClr val="000000"/>
                    </a:solidFill>
                    <a:latin typeface="Garamond"/>
                  </a:rPr>
                  <a:t>Body weight (g)</a:t>
                </a:r>
              </a:p>
            </c:rich>
          </c:tx>
          <c:overlay val="1"/>
        </c:title>
        <c:numFmt formatCode="General" sourceLinked="0"/>
        <c:majorTickMark val="none"/>
        <c:minorTickMark val="none"/>
        <c:tickLblPos val="nextTo"/>
        <c:spPr>
          <a:ln w="12700" cap="flat">
            <a:noFill/>
            <a:prstDash val="solid"/>
            <a:miter lim="400000"/>
          </a:ln>
        </c:spPr>
        <c:txPr>
          <a:bodyPr rot="0"/>
          <a:lstStyle/>
          <a:p>
            <a:pPr>
              <a:defRPr sz="900" b="0" i="0" u="none" strike="noStrike">
                <a:solidFill>
                  <a:srgbClr val="000000"/>
                </a:solidFill>
                <a:latin typeface="Garamond"/>
              </a:defRPr>
            </a:pPr>
            <a:endParaRPr lang="en-US"/>
          </a:p>
        </c:txPr>
        <c:crossAx val="2094734552"/>
        <c:crosses val="autoZero"/>
        <c:crossBetween val="midCat"/>
        <c:majorUnit val="10"/>
        <c:minorUnit val="5"/>
      </c:valAx>
      <c:spPr>
        <a:noFill/>
        <a:ln w="12700" cap="flat">
          <a:noFill/>
          <a:miter lim="400000"/>
        </a:ln>
        <a:effectLst/>
      </c:spPr>
    </c:plotArea>
    <c:legend>
      <c:legendPos val="r"/>
      <c:layout>
        <c:manualLayout>
          <c:xMode val="edge"/>
          <c:yMode val="edge"/>
          <c:x val="0.82025499999999996"/>
          <c:y val="0.16685900000000001"/>
          <c:w val="0.17974499999999999"/>
          <c:h val="0.13095100000000001"/>
        </c:manualLayout>
      </c:layout>
      <c:overlay val="1"/>
      <c:spPr>
        <a:noFill/>
        <a:ln w="12700" cap="flat">
          <a:noFill/>
          <a:miter lim="400000"/>
        </a:ln>
        <a:effectLst/>
      </c:spPr>
      <c:txPr>
        <a:bodyPr rot="0"/>
        <a:lstStyle/>
        <a:p>
          <a:pPr>
            <a:defRPr sz="900" b="0" i="0" u="none" strike="noStrike">
              <a:solidFill>
                <a:srgbClr val="000000"/>
              </a:solidFill>
              <a:latin typeface="Garamond"/>
            </a:defRPr>
          </a:pPr>
          <a:endParaRPr lang="en-US"/>
        </a:p>
      </c:txPr>
    </c:legend>
    <c:plotVisOnly val="1"/>
    <c:dispBlanksAs val="gap"/>
    <c:showDLblsOverMax val="1"/>
  </c:chart>
  <c:spPr>
    <a:noFill/>
    <a:ln>
      <a:noFill/>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080" b="1" i="0" u="none" strike="noStrike">
                <a:solidFill>
                  <a:srgbClr val="000000"/>
                </a:solidFill>
                <a:latin typeface="Garamond"/>
              </a:defRPr>
            </a:pPr>
            <a:r>
              <a:rPr lang="en-US" sz="1080" b="1" i="0" u="none" strike="noStrike">
                <a:solidFill>
                  <a:srgbClr val="000000"/>
                </a:solidFill>
                <a:latin typeface="Garamond"/>
              </a:rPr>
              <a:t>Weekly Body Weight Change (g)</a:t>
            </a:r>
          </a:p>
        </c:rich>
      </c:tx>
      <c:layout>
        <c:manualLayout>
          <c:xMode val="edge"/>
          <c:yMode val="edge"/>
          <c:x val="0.17492099999999999"/>
          <c:y val="0"/>
          <c:w val="0.457179"/>
          <c:h val="0.113345"/>
        </c:manualLayout>
      </c:layout>
      <c:overlay val="1"/>
      <c:spPr>
        <a:noFill/>
        <a:effectLst/>
      </c:spPr>
    </c:title>
    <c:autoTitleDeleted val="0"/>
    <c:plotArea>
      <c:layout>
        <c:manualLayout>
          <c:layoutTarget val="inner"/>
          <c:xMode val="edge"/>
          <c:yMode val="edge"/>
          <c:x val="0.111177"/>
          <c:y val="0.113345"/>
          <c:w val="0.68145999999999995"/>
          <c:h val="0.71411899999999995"/>
        </c:manualLayout>
      </c:layout>
      <c:lineChart>
        <c:grouping val="standard"/>
        <c:varyColors val="0"/>
        <c:ser>
          <c:idx val="0"/>
          <c:order val="0"/>
          <c:tx>
            <c:strRef>
              <c:f>Sheet1!$B$1</c:f>
              <c:strCache>
                <c:ptCount val="1"/>
                <c:pt idx="0">
                  <c:v>Female</c:v>
                </c:pt>
              </c:strCache>
            </c:strRef>
          </c:tx>
          <c:spPr>
            <a:ln w="50800" cap="flat">
              <a:solidFill>
                <a:schemeClr val="accent1"/>
              </a:solidFill>
              <a:prstDash val="solid"/>
              <a:miter lim="400000"/>
            </a:ln>
            <a:effectLst/>
          </c:spPr>
          <c:marker>
            <c:symbol val="none"/>
          </c:marker>
          <c:cat>
            <c:strRef>
              <c:f>Sheet1!$A$2:$A$22</c:f>
              <c:strCache>
                <c:ptCount val="21"/>
                <c:pt idx="0">
                  <c:v>4</c:v>
                </c:pt>
                <c:pt idx="2">
                  <c:v>6</c:v>
                </c:pt>
                <c:pt idx="4">
                  <c:v>8</c:v>
                </c:pt>
                <c:pt idx="6">
                  <c:v>10</c:v>
                </c:pt>
                <c:pt idx="8">
                  <c:v>12</c:v>
                </c:pt>
                <c:pt idx="10">
                  <c:v>14</c:v>
                </c:pt>
                <c:pt idx="12">
                  <c:v>16</c:v>
                </c:pt>
                <c:pt idx="14">
                  <c:v>18</c:v>
                </c:pt>
                <c:pt idx="16">
                  <c:v>20</c:v>
                </c:pt>
                <c:pt idx="18">
                  <c:v>22</c:v>
                </c:pt>
                <c:pt idx="20">
                  <c:v>24</c:v>
                </c:pt>
              </c:strCache>
            </c:strRef>
          </c:cat>
          <c:val>
            <c:numRef>
              <c:f>Sheet1!$B$2:$B$22</c:f>
              <c:numCache>
                <c:formatCode>General</c:formatCode>
                <c:ptCount val="21"/>
                <c:pt idx="0">
                  <c:v>4.5999999999999996</c:v>
                </c:pt>
                <c:pt idx="1">
                  <c:v>3.1</c:v>
                </c:pt>
                <c:pt idx="2">
                  <c:v>0.7</c:v>
                </c:pt>
                <c:pt idx="3">
                  <c:v>0.5</c:v>
                </c:pt>
                <c:pt idx="4">
                  <c:v>0.6</c:v>
                </c:pt>
                <c:pt idx="5">
                  <c:v>0.7</c:v>
                </c:pt>
                <c:pt idx="6">
                  <c:v>0.4</c:v>
                </c:pt>
                <c:pt idx="7">
                  <c:v>0.6</c:v>
                </c:pt>
                <c:pt idx="8">
                  <c:v>0.6</c:v>
                </c:pt>
                <c:pt idx="9">
                  <c:v>0.7</c:v>
                </c:pt>
                <c:pt idx="10">
                  <c:v>0.4</c:v>
                </c:pt>
                <c:pt idx="11">
                  <c:v>0.5</c:v>
                </c:pt>
                <c:pt idx="12">
                  <c:v>0.4</c:v>
                </c:pt>
                <c:pt idx="13">
                  <c:v>0.2</c:v>
                </c:pt>
                <c:pt idx="14">
                  <c:v>0.4</c:v>
                </c:pt>
                <c:pt idx="15">
                  <c:v>0.3</c:v>
                </c:pt>
                <c:pt idx="16">
                  <c:v>0.5</c:v>
                </c:pt>
                <c:pt idx="17">
                  <c:v>0.5</c:v>
                </c:pt>
                <c:pt idx="18">
                  <c:v>0.3</c:v>
                </c:pt>
                <c:pt idx="19">
                  <c:v>0.4</c:v>
                </c:pt>
                <c:pt idx="20">
                  <c:v>0.4</c:v>
                </c:pt>
              </c:numCache>
            </c:numRef>
          </c:val>
          <c:smooth val="0"/>
          <c:extLst>
            <c:ext xmlns:c16="http://schemas.microsoft.com/office/drawing/2014/chart" uri="{C3380CC4-5D6E-409C-BE32-E72D297353CC}">
              <c16:uniqueId val="{00000000-0ED0-FE48-83C4-75696233C59A}"/>
            </c:ext>
          </c:extLst>
        </c:ser>
        <c:ser>
          <c:idx val="1"/>
          <c:order val="1"/>
          <c:tx>
            <c:strRef>
              <c:f>Sheet1!$C$1</c:f>
              <c:strCache>
                <c:ptCount val="1"/>
                <c:pt idx="0">
                  <c:v>Male</c:v>
                </c:pt>
              </c:strCache>
            </c:strRef>
          </c:tx>
          <c:spPr>
            <a:ln w="50800" cap="flat">
              <a:solidFill>
                <a:schemeClr val="accent3"/>
              </a:solidFill>
              <a:prstDash val="solid"/>
              <a:miter lim="400000"/>
            </a:ln>
            <a:effectLst/>
          </c:spPr>
          <c:marker>
            <c:symbol val="none"/>
          </c:marker>
          <c:cat>
            <c:strRef>
              <c:f>Sheet1!$A$2:$A$22</c:f>
              <c:strCache>
                <c:ptCount val="21"/>
                <c:pt idx="0">
                  <c:v>4</c:v>
                </c:pt>
                <c:pt idx="2">
                  <c:v>6</c:v>
                </c:pt>
                <c:pt idx="4">
                  <c:v>8</c:v>
                </c:pt>
                <c:pt idx="6">
                  <c:v>10</c:v>
                </c:pt>
                <c:pt idx="8">
                  <c:v>12</c:v>
                </c:pt>
                <c:pt idx="10">
                  <c:v>14</c:v>
                </c:pt>
                <c:pt idx="12">
                  <c:v>16</c:v>
                </c:pt>
                <c:pt idx="14">
                  <c:v>18</c:v>
                </c:pt>
                <c:pt idx="16">
                  <c:v>20</c:v>
                </c:pt>
                <c:pt idx="18">
                  <c:v>22</c:v>
                </c:pt>
                <c:pt idx="20">
                  <c:v>24</c:v>
                </c:pt>
              </c:strCache>
            </c:strRef>
          </c:cat>
          <c:val>
            <c:numRef>
              <c:f>Sheet1!$C$2:$C$22</c:f>
              <c:numCache>
                <c:formatCode>General</c:formatCode>
                <c:ptCount val="21"/>
                <c:pt idx="0">
                  <c:v>5.9</c:v>
                </c:pt>
                <c:pt idx="1">
                  <c:v>4.2</c:v>
                </c:pt>
                <c:pt idx="2">
                  <c:v>1.2</c:v>
                </c:pt>
                <c:pt idx="3">
                  <c:v>1.7</c:v>
                </c:pt>
                <c:pt idx="4">
                  <c:v>1.4</c:v>
                </c:pt>
                <c:pt idx="5">
                  <c:v>1.1000000000000001</c:v>
                </c:pt>
                <c:pt idx="6">
                  <c:v>0.8</c:v>
                </c:pt>
                <c:pt idx="7">
                  <c:v>0.8</c:v>
                </c:pt>
                <c:pt idx="8">
                  <c:v>1.2</c:v>
                </c:pt>
                <c:pt idx="9">
                  <c:v>1.1000000000000001</c:v>
                </c:pt>
                <c:pt idx="10">
                  <c:v>0.8</c:v>
                </c:pt>
                <c:pt idx="11">
                  <c:v>0.8</c:v>
                </c:pt>
                <c:pt idx="12">
                  <c:v>0.5</c:v>
                </c:pt>
                <c:pt idx="13">
                  <c:v>0.7</c:v>
                </c:pt>
                <c:pt idx="14">
                  <c:v>0.5</c:v>
                </c:pt>
                <c:pt idx="15">
                  <c:v>0.4</c:v>
                </c:pt>
                <c:pt idx="16">
                  <c:v>0.5</c:v>
                </c:pt>
                <c:pt idx="17">
                  <c:v>0.4</c:v>
                </c:pt>
                <c:pt idx="18">
                  <c:v>0.5</c:v>
                </c:pt>
                <c:pt idx="19">
                  <c:v>0.7</c:v>
                </c:pt>
                <c:pt idx="20">
                  <c:v>0.5</c:v>
                </c:pt>
              </c:numCache>
            </c:numRef>
          </c:val>
          <c:smooth val="0"/>
          <c:extLst>
            <c:ext xmlns:c16="http://schemas.microsoft.com/office/drawing/2014/chart" uri="{C3380CC4-5D6E-409C-BE32-E72D297353CC}">
              <c16:uniqueId val="{00000001-0ED0-FE48-83C4-75696233C59A}"/>
            </c:ext>
          </c:extLst>
        </c:ser>
        <c:dLbls>
          <c:showLegendKey val="0"/>
          <c:showVal val="0"/>
          <c:showCatName val="0"/>
          <c:showSerName val="0"/>
          <c:showPercent val="0"/>
          <c:showBubbleSize val="0"/>
        </c:dLbls>
        <c:smooth val="0"/>
        <c:axId val="2094734552"/>
        <c:axId val="2094734553"/>
      </c:lineChart>
      <c:catAx>
        <c:axId val="2094734552"/>
        <c:scaling>
          <c:orientation val="minMax"/>
        </c:scaling>
        <c:delete val="0"/>
        <c:axPos val="b"/>
        <c:title>
          <c:tx>
            <c:rich>
              <a:bodyPr rot="0"/>
              <a:lstStyle/>
              <a:p>
                <a:pPr>
                  <a:defRPr sz="900" b="0" i="0" u="none" strike="noStrike">
                    <a:solidFill>
                      <a:srgbClr val="000000"/>
                    </a:solidFill>
                    <a:latin typeface="Garamond"/>
                  </a:defRPr>
                </a:pPr>
                <a:r>
                  <a:rPr lang="en-US" sz="900" b="0" i="0" u="none" strike="noStrike">
                    <a:solidFill>
                      <a:srgbClr val="000000"/>
                    </a:solidFill>
                    <a:latin typeface="Garamond"/>
                  </a:rPr>
                  <a:t>Age (weeks)</a:t>
                </a:r>
              </a:p>
            </c:rich>
          </c:tx>
          <c:overlay val="1"/>
        </c:title>
        <c:numFmt formatCode="0.0" sourceLinked="0"/>
        <c:majorTickMark val="cross"/>
        <c:minorTickMark val="none"/>
        <c:tickLblPos val="low"/>
        <c:spPr>
          <a:ln w="12700" cap="flat">
            <a:solidFill>
              <a:srgbClr val="000000"/>
            </a:solidFill>
            <a:prstDash val="solid"/>
            <a:miter lim="400000"/>
          </a:ln>
        </c:spPr>
        <c:txPr>
          <a:bodyPr rot="0"/>
          <a:lstStyle/>
          <a:p>
            <a:pPr>
              <a:defRPr sz="900" b="0" i="0" u="none" strike="noStrike">
                <a:solidFill>
                  <a:srgbClr val="000000"/>
                </a:solidFill>
                <a:latin typeface="Garamond"/>
              </a:defRPr>
            </a:pPr>
            <a:endParaRPr lang="en-US"/>
          </a:p>
        </c:txPr>
        <c:crossAx val="2094734553"/>
        <c:crosses val="autoZero"/>
        <c:auto val="1"/>
        <c:lblAlgn val="ctr"/>
        <c:lblOffset val="100"/>
        <c:noMultiLvlLbl val="1"/>
      </c:catAx>
      <c:valAx>
        <c:axId val="2094734553"/>
        <c:scaling>
          <c:orientation val="minMax"/>
        </c:scaling>
        <c:delete val="0"/>
        <c:axPos val="l"/>
        <c:majorGridlines>
          <c:spPr>
            <a:ln w="6350" cap="flat">
              <a:solidFill>
                <a:srgbClr val="B8B8B8"/>
              </a:solidFill>
              <a:prstDash val="solid"/>
              <a:miter lim="400000"/>
            </a:ln>
          </c:spPr>
        </c:majorGridlines>
        <c:title>
          <c:tx>
            <c:rich>
              <a:bodyPr rot="-5400000"/>
              <a:lstStyle/>
              <a:p>
                <a:pPr>
                  <a:defRPr sz="900" b="0" i="0" u="none" strike="noStrike">
                    <a:solidFill>
                      <a:srgbClr val="000000"/>
                    </a:solidFill>
                    <a:latin typeface="Garamond"/>
                  </a:defRPr>
                </a:pPr>
                <a:r>
                  <a:rPr lang="en-US" sz="900" b="0" i="0" u="none" strike="noStrike">
                    <a:solidFill>
                      <a:srgbClr val="000000"/>
                    </a:solidFill>
                    <a:latin typeface="Garamond"/>
                  </a:rPr>
                  <a:t>∆g</a:t>
                </a:r>
              </a:p>
            </c:rich>
          </c:tx>
          <c:overlay val="1"/>
        </c:title>
        <c:numFmt formatCode="0.0" sourceLinked="0"/>
        <c:majorTickMark val="none"/>
        <c:minorTickMark val="none"/>
        <c:tickLblPos val="nextTo"/>
        <c:spPr>
          <a:ln w="12700" cap="flat">
            <a:noFill/>
            <a:prstDash val="solid"/>
            <a:miter lim="400000"/>
          </a:ln>
        </c:spPr>
        <c:txPr>
          <a:bodyPr rot="0"/>
          <a:lstStyle/>
          <a:p>
            <a:pPr>
              <a:defRPr sz="900" b="0" i="0" u="none" strike="noStrike">
                <a:solidFill>
                  <a:srgbClr val="000000"/>
                </a:solidFill>
                <a:latin typeface="Garamond"/>
              </a:defRPr>
            </a:pPr>
            <a:endParaRPr lang="en-US"/>
          </a:p>
        </c:txPr>
        <c:crossAx val="2094734552"/>
        <c:crosses val="autoZero"/>
        <c:crossBetween val="midCat"/>
        <c:majorUnit val="1.5"/>
        <c:minorUnit val="0.75"/>
      </c:valAx>
      <c:spPr>
        <a:noFill/>
        <a:ln w="12700" cap="flat">
          <a:noFill/>
          <a:miter lim="400000"/>
        </a:ln>
        <a:effectLst/>
      </c:spPr>
    </c:plotArea>
    <c:legend>
      <c:legendPos val="r"/>
      <c:layout>
        <c:manualLayout>
          <c:xMode val="edge"/>
          <c:yMode val="edge"/>
          <c:x val="0.82013499999999995"/>
          <c:y val="0.30181400000000003"/>
          <c:w val="0.179865"/>
          <c:h val="0.12804099999999999"/>
        </c:manualLayout>
      </c:layout>
      <c:overlay val="1"/>
      <c:spPr>
        <a:noFill/>
        <a:ln w="12700" cap="flat">
          <a:noFill/>
          <a:miter lim="400000"/>
        </a:ln>
        <a:effectLst/>
      </c:spPr>
      <c:txPr>
        <a:bodyPr rot="0"/>
        <a:lstStyle/>
        <a:p>
          <a:pPr>
            <a:defRPr sz="900" b="0" i="0" u="none" strike="noStrike">
              <a:solidFill>
                <a:srgbClr val="000000"/>
              </a:solidFill>
              <a:latin typeface="Garamond"/>
            </a:defRPr>
          </a:pPr>
          <a:endParaRPr lang="en-US"/>
        </a:p>
      </c:txPr>
    </c:legend>
    <c:plotVisOnly val="1"/>
    <c:dispBlanksAs val="gap"/>
    <c:showDLblsOverMax val="1"/>
  </c:chart>
  <c:spPr>
    <a:noFill/>
    <a:ln>
      <a:noFill/>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080" b="1" i="0" u="none" strike="noStrike">
                <a:solidFill>
                  <a:srgbClr val="000000"/>
                </a:solidFill>
                <a:latin typeface="Garamond"/>
              </a:defRPr>
            </a:pPr>
            <a:r>
              <a:rPr lang="en-US" sz="1080" b="1" i="0" u="none" strike="noStrike">
                <a:solidFill>
                  <a:srgbClr val="000000"/>
                </a:solidFill>
                <a:latin typeface="Garamond"/>
              </a:rPr>
              <a:t>Weekly Body Weight Change (%)</a:t>
            </a:r>
          </a:p>
        </c:rich>
      </c:tx>
      <c:layout>
        <c:manualLayout>
          <c:xMode val="edge"/>
          <c:yMode val="edge"/>
          <c:x val="0.189888"/>
          <c:y val="0"/>
          <c:w val="0.44793300000000003"/>
          <c:h val="0.120446"/>
        </c:manualLayout>
      </c:layout>
      <c:overlay val="1"/>
      <c:spPr>
        <a:noFill/>
        <a:effectLst/>
      </c:spPr>
    </c:title>
    <c:autoTitleDeleted val="0"/>
    <c:plotArea>
      <c:layout>
        <c:manualLayout>
          <c:layoutTarget val="inner"/>
          <c:xMode val="edge"/>
          <c:yMode val="edge"/>
          <c:x val="0.14068800000000001"/>
          <c:y val="0.120446"/>
          <c:w val="0.67321799999999998"/>
          <c:h val="0.71067800000000003"/>
        </c:manualLayout>
      </c:layout>
      <c:lineChart>
        <c:grouping val="standard"/>
        <c:varyColors val="0"/>
        <c:ser>
          <c:idx val="0"/>
          <c:order val="0"/>
          <c:tx>
            <c:strRef>
              <c:f>Sheet1!$B$1</c:f>
              <c:strCache>
                <c:ptCount val="1"/>
                <c:pt idx="0">
                  <c:v>Female</c:v>
                </c:pt>
              </c:strCache>
            </c:strRef>
          </c:tx>
          <c:spPr>
            <a:ln w="50800" cap="flat">
              <a:solidFill>
                <a:schemeClr val="accent1"/>
              </a:solidFill>
              <a:prstDash val="solid"/>
              <a:miter lim="400000"/>
            </a:ln>
            <a:effectLst/>
          </c:spPr>
          <c:marker>
            <c:symbol val="none"/>
          </c:marker>
          <c:cat>
            <c:strRef>
              <c:f>Sheet1!$A$2:$A$22</c:f>
              <c:strCache>
                <c:ptCount val="21"/>
                <c:pt idx="0">
                  <c:v>4</c:v>
                </c:pt>
                <c:pt idx="2">
                  <c:v>6</c:v>
                </c:pt>
                <c:pt idx="4">
                  <c:v>8</c:v>
                </c:pt>
                <c:pt idx="6">
                  <c:v>10</c:v>
                </c:pt>
                <c:pt idx="8">
                  <c:v>12</c:v>
                </c:pt>
                <c:pt idx="10">
                  <c:v>14</c:v>
                </c:pt>
                <c:pt idx="12">
                  <c:v>16</c:v>
                </c:pt>
                <c:pt idx="14">
                  <c:v>18</c:v>
                </c:pt>
                <c:pt idx="16">
                  <c:v>20</c:v>
                </c:pt>
                <c:pt idx="18">
                  <c:v>22</c:v>
                </c:pt>
                <c:pt idx="20">
                  <c:v>24</c:v>
                </c:pt>
              </c:strCache>
            </c:strRef>
          </c:cat>
          <c:val>
            <c:numRef>
              <c:f>Sheet1!$B$2:$B$22</c:f>
              <c:numCache>
                <c:formatCode>General</c:formatCode>
                <c:ptCount val="21"/>
                <c:pt idx="0">
                  <c:v>0.45544600000000002</c:v>
                </c:pt>
                <c:pt idx="1">
                  <c:v>0.21088399999999999</c:v>
                </c:pt>
                <c:pt idx="2">
                  <c:v>3.9326E-2</c:v>
                </c:pt>
                <c:pt idx="3">
                  <c:v>2.7026999999999999E-2</c:v>
                </c:pt>
                <c:pt idx="4">
                  <c:v>3.1579000000000003E-2</c:v>
                </c:pt>
                <c:pt idx="5">
                  <c:v>3.5714000000000003E-2</c:v>
                </c:pt>
                <c:pt idx="6">
                  <c:v>1.9703999999999999E-2</c:v>
                </c:pt>
                <c:pt idx="7">
                  <c:v>2.8986000000000001E-2</c:v>
                </c:pt>
                <c:pt idx="8">
                  <c:v>2.8169E-2</c:v>
                </c:pt>
                <c:pt idx="9">
                  <c:v>3.1962999999999998E-2</c:v>
                </c:pt>
                <c:pt idx="10">
                  <c:v>1.7698999999999999E-2</c:v>
                </c:pt>
                <c:pt idx="11">
                  <c:v>2.1739000000000001E-2</c:v>
                </c:pt>
                <c:pt idx="12">
                  <c:v>1.7021000000000001E-2</c:v>
                </c:pt>
                <c:pt idx="13">
                  <c:v>8.3680000000000004E-3</c:v>
                </c:pt>
                <c:pt idx="14">
                  <c:v>1.6598000000000002E-2</c:v>
                </c:pt>
                <c:pt idx="15">
                  <c:v>1.2245000000000001E-2</c:v>
                </c:pt>
                <c:pt idx="16">
                  <c:v>2.0160999999999998E-2</c:v>
                </c:pt>
                <c:pt idx="17">
                  <c:v>1.9762999999999999E-2</c:v>
                </c:pt>
                <c:pt idx="18">
                  <c:v>1.1627999999999999E-2</c:v>
                </c:pt>
                <c:pt idx="19">
                  <c:v>1.5325999999999999E-2</c:v>
                </c:pt>
                <c:pt idx="20">
                  <c:v>1.5094E-2</c:v>
                </c:pt>
              </c:numCache>
            </c:numRef>
          </c:val>
          <c:smooth val="0"/>
          <c:extLst>
            <c:ext xmlns:c16="http://schemas.microsoft.com/office/drawing/2014/chart" uri="{C3380CC4-5D6E-409C-BE32-E72D297353CC}">
              <c16:uniqueId val="{00000000-E4B9-D24E-94D0-FA10FBA9E9EC}"/>
            </c:ext>
          </c:extLst>
        </c:ser>
        <c:ser>
          <c:idx val="1"/>
          <c:order val="1"/>
          <c:tx>
            <c:strRef>
              <c:f>Sheet1!$C$1</c:f>
              <c:strCache>
                <c:ptCount val="1"/>
                <c:pt idx="0">
                  <c:v> Male</c:v>
                </c:pt>
              </c:strCache>
            </c:strRef>
          </c:tx>
          <c:spPr>
            <a:ln w="50800" cap="flat">
              <a:solidFill>
                <a:schemeClr val="accent3"/>
              </a:solidFill>
              <a:prstDash val="solid"/>
              <a:miter lim="400000"/>
            </a:ln>
            <a:effectLst/>
          </c:spPr>
          <c:marker>
            <c:symbol val="none"/>
          </c:marker>
          <c:cat>
            <c:strRef>
              <c:f>Sheet1!$A$2:$A$22</c:f>
              <c:strCache>
                <c:ptCount val="21"/>
                <c:pt idx="0">
                  <c:v>4</c:v>
                </c:pt>
                <c:pt idx="2">
                  <c:v>6</c:v>
                </c:pt>
                <c:pt idx="4">
                  <c:v>8</c:v>
                </c:pt>
                <c:pt idx="6">
                  <c:v>10</c:v>
                </c:pt>
                <c:pt idx="8">
                  <c:v>12</c:v>
                </c:pt>
                <c:pt idx="10">
                  <c:v>14</c:v>
                </c:pt>
                <c:pt idx="12">
                  <c:v>16</c:v>
                </c:pt>
                <c:pt idx="14">
                  <c:v>18</c:v>
                </c:pt>
                <c:pt idx="16">
                  <c:v>20</c:v>
                </c:pt>
                <c:pt idx="18">
                  <c:v>22</c:v>
                </c:pt>
                <c:pt idx="20">
                  <c:v>24</c:v>
                </c:pt>
              </c:strCache>
            </c:strRef>
          </c:cat>
          <c:val>
            <c:numRef>
              <c:f>Sheet1!$C$2:$C$22</c:f>
              <c:numCache>
                <c:formatCode>General</c:formatCode>
                <c:ptCount val="21"/>
                <c:pt idx="0">
                  <c:v>0.55660399999999999</c:v>
                </c:pt>
                <c:pt idx="1">
                  <c:v>0.25454500000000002</c:v>
                </c:pt>
                <c:pt idx="2">
                  <c:v>5.7971000000000002E-2</c:v>
                </c:pt>
                <c:pt idx="3">
                  <c:v>7.7626000000000001E-2</c:v>
                </c:pt>
                <c:pt idx="4">
                  <c:v>5.9322E-2</c:v>
                </c:pt>
                <c:pt idx="5">
                  <c:v>4.3999999999999997E-2</c:v>
                </c:pt>
                <c:pt idx="6">
                  <c:v>3.0651000000000001E-2</c:v>
                </c:pt>
                <c:pt idx="7">
                  <c:v>2.9739999999999999E-2</c:v>
                </c:pt>
                <c:pt idx="8">
                  <c:v>4.3320999999999998E-2</c:v>
                </c:pt>
                <c:pt idx="9">
                  <c:v>3.8061999999999999E-2</c:v>
                </c:pt>
                <c:pt idx="10">
                  <c:v>2.6667E-2</c:v>
                </c:pt>
                <c:pt idx="11">
                  <c:v>2.5974000000000001E-2</c:v>
                </c:pt>
                <c:pt idx="12">
                  <c:v>1.5823E-2</c:v>
                </c:pt>
                <c:pt idx="13">
                  <c:v>2.1807E-2</c:v>
                </c:pt>
                <c:pt idx="14">
                  <c:v>1.5244000000000001E-2</c:v>
                </c:pt>
                <c:pt idx="15">
                  <c:v>1.2012E-2</c:v>
                </c:pt>
                <c:pt idx="16">
                  <c:v>1.4836999999999999E-2</c:v>
                </c:pt>
                <c:pt idx="17">
                  <c:v>1.1696E-2</c:v>
                </c:pt>
                <c:pt idx="18">
                  <c:v>1.4451E-2</c:v>
                </c:pt>
                <c:pt idx="19">
                  <c:v>1.9942999999999999E-2</c:v>
                </c:pt>
                <c:pt idx="20">
                  <c:v>1.3965999999999999E-2</c:v>
                </c:pt>
              </c:numCache>
            </c:numRef>
          </c:val>
          <c:smooth val="0"/>
          <c:extLst>
            <c:ext xmlns:c16="http://schemas.microsoft.com/office/drawing/2014/chart" uri="{C3380CC4-5D6E-409C-BE32-E72D297353CC}">
              <c16:uniqueId val="{00000001-E4B9-D24E-94D0-FA10FBA9E9EC}"/>
            </c:ext>
          </c:extLst>
        </c:ser>
        <c:dLbls>
          <c:showLegendKey val="0"/>
          <c:showVal val="0"/>
          <c:showCatName val="0"/>
          <c:showSerName val="0"/>
          <c:showPercent val="0"/>
          <c:showBubbleSize val="0"/>
        </c:dLbls>
        <c:smooth val="0"/>
        <c:axId val="2094734552"/>
        <c:axId val="2094734553"/>
      </c:lineChart>
      <c:catAx>
        <c:axId val="2094734552"/>
        <c:scaling>
          <c:orientation val="minMax"/>
        </c:scaling>
        <c:delete val="0"/>
        <c:axPos val="b"/>
        <c:title>
          <c:tx>
            <c:rich>
              <a:bodyPr rot="0"/>
              <a:lstStyle/>
              <a:p>
                <a:pPr>
                  <a:defRPr sz="900" b="0" i="0" u="none" strike="noStrike">
                    <a:solidFill>
                      <a:srgbClr val="000000"/>
                    </a:solidFill>
                    <a:latin typeface="Garamond"/>
                  </a:defRPr>
                </a:pPr>
                <a:r>
                  <a:rPr lang="en-US" sz="900" b="0" i="0" u="none" strike="noStrike">
                    <a:solidFill>
                      <a:srgbClr val="000000"/>
                    </a:solidFill>
                    <a:latin typeface="Garamond"/>
                  </a:rPr>
                  <a:t>Age (weeks)</a:t>
                </a:r>
              </a:p>
            </c:rich>
          </c:tx>
          <c:overlay val="1"/>
        </c:title>
        <c:numFmt formatCode="0.0%" sourceLinked="0"/>
        <c:majorTickMark val="none"/>
        <c:minorTickMark val="none"/>
        <c:tickLblPos val="low"/>
        <c:spPr>
          <a:ln w="12700" cap="flat">
            <a:solidFill>
              <a:srgbClr val="000000"/>
            </a:solidFill>
            <a:prstDash val="solid"/>
            <a:miter lim="400000"/>
          </a:ln>
        </c:spPr>
        <c:txPr>
          <a:bodyPr rot="0"/>
          <a:lstStyle/>
          <a:p>
            <a:pPr>
              <a:defRPr sz="900" b="0" i="0" u="none" strike="noStrike">
                <a:solidFill>
                  <a:srgbClr val="000000"/>
                </a:solidFill>
                <a:latin typeface="Garamond"/>
              </a:defRPr>
            </a:pPr>
            <a:endParaRPr lang="en-US"/>
          </a:p>
        </c:txPr>
        <c:crossAx val="2094734553"/>
        <c:crosses val="autoZero"/>
        <c:auto val="1"/>
        <c:lblAlgn val="ctr"/>
        <c:lblOffset val="100"/>
        <c:noMultiLvlLbl val="1"/>
      </c:catAx>
      <c:valAx>
        <c:axId val="2094734553"/>
        <c:scaling>
          <c:orientation val="minMax"/>
        </c:scaling>
        <c:delete val="0"/>
        <c:axPos val="l"/>
        <c:majorGridlines>
          <c:spPr>
            <a:ln w="6350" cap="flat">
              <a:solidFill>
                <a:srgbClr val="B8B8B8"/>
              </a:solidFill>
              <a:prstDash val="solid"/>
              <a:miter lim="400000"/>
            </a:ln>
          </c:spPr>
        </c:majorGridlines>
        <c:title>
          <c:tx>
            <c:rich>
              <a:bodyPr rot="-5400000"/>
              <a:lstStyle/>
              <a:p>
                <a:pPr>
                  <a:defRPr sz="900" b="0" i="0" u="none" strike="noStrike">
                    <a:solidFill>
                      <a:srgbClr val="000000"/>
                    </a:solidFill>
                    <a:latin typeface="Garamond"/>
                  </a:defRPr>
                </a:pPr>
                <a:r>
                  <a:rPr lang="en-US" sz="900" b="0" i="0" u="none" strike="noStrike">
                    <a:solidFill>
                      <a:srgbClr val="000000"/>
                    </a:solidFill>
                    <a:latin typeface="Garamond"/>
                  </a:rPr>
                  <a:t>∆%</a:t>
                </a:r>
              </a:p>
            </c:rich>
          </c:tx>
          <c:overlay val="1"/>
        </c:title>
        <c:numFmt formatCode="0.0%" sourceLinked="0"/>
        <c:majorTickMark val="none"/>
        <c:minorTickMark val="none"/>
        <c:tickLblPos val="nextTo"/>
        <c:spPr>
          <a:ln w="12700" cap="flat">
            <a:noFill/>
            <a:prstDash val="solid"/>
            <a:miter lim="400000"/>
          </a:ln>
        </c:spPr>
        <c:txPr>
          <a:bodyPr rot="0"/>
          <a:lstStyle/>
          <a:p>
            <a:pPr>
              <a:defRPr sz="900" b="0" i="0" u="none" strike="noStrike">
                <a:solidFill>
                  <a:srgbClr val="000000"/>
                </a:solidFill>
                <a:latin typeface="Garamond"/>
              </a:defRPr>
            </a:pPr>
            <a:endParaRPr lang="en-US"/>
          </a:p>
        </c:txPr>
        <c:crossAx val="2094734552"/>
        <c:crosses val="autoZero"/>
        <c:crossBetween val="midCat"/>
        <c:majorUnit val="0.15"/>
        <c:minorUnit val="7.4999999999999997E-2"/>
      </c:valAx>
      <c:spPr>
        <a:noFill/>
        <a:ln w="12700" cap="flat">
          <a:noFill/>
          <a:miter lim="400000"/>
        </a:ln>
        <a:effectLst/>
      </c:spPr>
    </c:plotArea>
    <c:legend>
      <c:legendPos val="r"/>
      <c:layout>
        <c:manualLayout>
          <c:xMode val="edge"/>
          <c:yMode val="edge"/>
          <c:x val="0.82740199999999997"/>
          <c:y val="0.28696100000000002"/>
          <c:w val="0.172598"/>
          <c:h val="0.13449700000000001"/>
        </c:manualLayout>
      </c:layout>
      <c:overlay val="1"/>
      <c:spPr>
        <a:noFill/>
        <a:ln w="12700" cap="flat">
          <a:noFill/>
          <a:miter lim="400000"/>
        </a:ln>
        <a:effectLst/>
      </c:spPr>
      <c:txPr>
        <a:bodyPr rot="0"/>
        <a:lstStyle/>
        <a:p>
          <a:pPr>
            <a:defRPr sz="900" b="0" i="0" u="none" strike="noStrike">
              <a:solidFill>
                <a:srgbClr val="000000"/>
              </a:solidFill>
              <a:latin typeface="Garamond"/>
            </a:defRPr>
          </a:pPr>
          <a:endParaRPr lang="en-US"/>
        </a:p>
      </c:txPr>
    </c:legend>
    <c:plotVisOnly val="1"/>
    <c:dispBlanksAs val="gap"/>
    <c:showDLblsOverMax val="1"/>
  </c:chart>
  <c:spPr>
    <a:noFill/>
    <a:ln>
      <a:noFill/>
    </a:ln>
    <a:effectLst/>
  </c:spPr>
  <c:externalData r:id="rId1">
    <c:autoUpdate val="0"/>
  </c:externalData>
</c:chartSpace>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aramond"/>
        <a:ea typeface="Garamond"/>
        <a:cs typeface="Garamond"/>
      </a:majorFont>
      <a:minorFont>
        <a:latin typeface="Garamond"/>
        <a:ea typeface="Garamond"/>
        <a:cs typeface="Garamond"/>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Garamon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Garamon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3117</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Isaura Macias</cp:lastModifiedBy>
  <cp:revision>2</cp:revision>
  <dcterms:created xsi:type="dcterms:W3CDTF">2023-09-20T15:10:00Z</dcterms:created>
  <dcterms:modified xsi:type="dcterms:W3CDTF">2023-09-20T15:10:00Z</dcterms:modified>
</cp:coreProperties>
</file>