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9EF38" w14:textId="5EDF4F97" w:rsidR="007A4032" w:rsidRPr="007A4032" w:rsidRDefault="007A4032" w:rsidP="007A4032">
      <w:pPr>
        <w:shd w:val="clear" w:color="auto" w:fill="FFFFFF"/>
        <w:spacing w:after="180" w:line="240" w:lineRule="auto"/>
        <w:rPr>
          <w:rFonts w:ascii="Times New Roman" w:eastAsia="Times New Roman" w:hAnsi="Times New Roman" w:cs="Times New Roman"/>
          <w:b/>
          <w:color w:val="323336"/>
          <w:szCs w:val="24"/>
          <w:lang w:val="en-US" w:eastAsia="es-MX"/>
        </w:rPr>
      </w:pPr>
      <w:r w:rsidRPr="007A4032">
        <w:rPr>
          <w:rFonts w:ascii="Times New Roman" w:eastAsia="Times New Roman" w:hAnsi="Times New Roman" w:cs="Times New Roman"/>
          <w:b/>
          <w:color w:val="323336"/>
          <w:szCs w:val="24"/>
          <w:lang w:val="en-US" w:eastAsia="es-MX"/>
        </w:rPr>
        <w:t>Continuing Review</w:t>
      </w:r>
    </w:p>
    <w:p w14:paraId="118412F6" w14:textId="383D0733"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Effective on </w:t>
      </w:r>
      <w:r w:rsidRPr="007A4032">
        <w:rPr>
          <w:rFonts w:ascii="Times New Roman" w:eastAsia="Times New Roman" w:hAnsi="Times New Roman" w:cs="Times New Roman"/>
          <w:b/>
          <w:bCs/>
          <w:color w:val="323336"/>
          <w:szCs w:val="24"/>
          <w:lang w:val="en-US" w:eastAsia="es-MX"/>
        </w:rPr>
        <w:t>January 21, 2019</w:t>
      </w:r>
      <w:r w:rsidRPr="007A4032">
        <w:rPr>
          <w:rFonts w:ascii="Times New Roman" w:eastAsia="Times New Roman" w:hAnsi="Times New Roman" w:cs="Times New Roman"/>
          <w:color w:val="323336"/>
          <w:szCs w:val="24"/>
          <w:lang w:val="en-US" w:eastAsia="es-MX"/>
        </w:rPr>
        <w:t>, </w:t>
      </w:r>
      <w:r w:rsidRPr="007A4032">
        <w:rPr>
          <w:rFonts w:ascii="Times New Roman" w:eastAsia="Times New Roman" w:hAnsi="Times New Roman" w:cs="Times New Roman"/>
          <w:b/>
          <w:bCs/>
          <w:color w:val="323336"/>
          <w:szCs w:val="24"/>
          <w:lang w:val="en-US" w:eastAsia="es-MX"/>
        </w:rPr>
        <w:t>Continuing Review will no longer be required</w:t>
      </w:r>
      <w:r w:rsidRPr="007A4032">
        <w:rPr>
          <w:rFonts w:ascii="Times New Roman" w:eastAsia="Times New Roman" w:hAnsi="Times New Roman" w:cs="Times New Roman"/>
          <w:color w:val="323336"/>
          <w:szCs w:val="24"/>
          <w:lang w:val="en-US" w:eastAsia="es-MX"/>
        </w:rPr>
        <w:t> for:</w:t>
      </w:r>
    </w:p>
    <w:p w14:paraId="12D83080" w14:textId="77777777" w:rsidR="007A4032" w:rsidRPr="007A4032" w:rsidRDefault="007A4032" w:rsidP="007A4032">
      <w:pPr>
        <w:numPr>
          <w:ilvl w:val="0"/>
          <w:numId w:val="1"/>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Most studies that qualify for the expedited review process.</w:t>
      </w:r>
    </w:p>
    <w:p w14:paraId="0AC95CC5" w14:textId="77777777" w:rsidR="007A4032" w:rsidRPr="007A4032" w:rsidRDefault="007A4032" w:rsidP="007A4032">
      <w:pPr>
        <w:numPr>
          <w:ilvl w:val="0"/>
          <w:numId w:val="1"/>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Studies (regardless of review path) that have </w:t>
      </w:r>
      <w:r w:rsidRPr="007A4032">
        <w:rPr>
          <w:rFonts w:ascii="Times New Roman" w:eastAsia="Times New Roman" w:hAnsi="Times New Roman" w:cs="Times New Roman"/>
          <w:b/>
          <w:bCs/>
          <w:color w:val="323336"/>
          <w:szCs w:val="24"/>
          <w:lang w:val="en-US" w:eastAsia="es-MX"/>
        </w:rPr>
        <w:t>completed subject intervention/interaction</w:t>
      </w:r>
      <w:r w:rsidRPr="007A4032">
        <w:rPr>
          <w:rFonts w:ascii="Times New Roman" w:eastAsia="Times New Roman" w:hAnsi="Times New Roman" w:cs="Times New Roman"/>
          <w:color w:val="323336"/>
          <w:szCs w:val="24"/>
          <w:lang w:val="en-US" w:eastAsia="es-MX"/>
        </w:rPr>
        <w:t> and in which activity is limited to either final </w:t>
      </w:r>
      <w:r w:rsidRPr="007A4032">
        <w:rPr>
          <w:rFonts w:ascii="Times New Roman" w:eastAsia="Times New Roman" w:hAnsi="Times New Roman" w:cs="Times New Roman"/>
          <w:b/>
          <w:bCs/>
          <w:color w:val="323336"/>
          <w:szCs w:val="24"/>
          <w:lang w:val="en-US" w:eastAsia="es-MX"/>
        </w:rPr>
        <w:t>analysis of identifiable data/biospecimens</w:t>
      </w:r>
      <w:r w:rsidRPr="007A4032">
        <w:rPr>
          <w:rFonts w:ascii="Times New Roman" w:eastAsia="Times New Roman" w:hAnsi="Times New Roman" w:cs="Times New Roman"/>
          <w:color w:val="323336"/>
          <w:szCs w:val="24"/>
          <w:lang w:val="en-US" w:eastAsia="es-MX"/>
        </w:rPr>
        <w:t> or involve accessing follow-up clinical data from procedures that subjects undergo as part of clinical care.</w:t>
      </w:r>
    </w:p>
    <w:p w14:paraId="69F8A2DE"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Eliminating continuing review for qualifying minimal-risk research reduces administrative burden for both the study team and IRB staff without impact to the human subjects.</w:t>
      </w:r>
    </w:p>
    <w:p w14:paraId="028D0C6C"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Transition Process</w:t>
      </w:r>
    </w:p>
    <w:p w14:paraId="782242AE"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STUDIES</w:t>
      </w:r>
    </w:p>
    <w:p w14:paraId="5564F6F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For existing minimal risk studies (expedited) and exemptions that are approved on or before January 20, 2019, the pre-2018 Common Rule will apply. If an existing study is federally funded after January 20, 2019, it will be transitioned to the 2018 Common Rule.</w:t>
      </w:r>
    </w:p>
    <w:p w14:paraId="1D622AFC"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NEW STUDIES</w:t>
      </w:r>
    </w:p>
    <w:p w14:paraId="5A17B832"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For new expedited studies approved on or after January 21, 2019 (January 22 due to holiday on the 21</w:t>
      </w:r>
      <w:r w:rsidRPr="007A4032">
        <w:rPr>
          <w:rFonts w:ascii="Times New Roman" w:eastAsia="Times New Roman" w:hAnsi="Times New Roman" w:cs="Times New Roman"/>
          <w:color w:val="323336"/>
          <w:sz w:val="16"/>
          <w:szCs w:val="18"/>
          <w:vertAlign w:val="superscript"/>
          <w:lang w:val="en-US" w:eastAsia="es-MX"/>
        </w:rPr>
        <w:t>st</w:t>
      </w:r>
      <w:r w:rsidRPr="007A4032">
        <w:rPr>
          <w:rFonts w:ascii="Times New Roman" w:eastAsia="Times New Roman" w:hAnsi="Times New Roman" w:cs="Times New Roman"/>
          <w:color w:val="323336"/>
          <w:szCs w:val="24"/>
          <w:lang w:val="en-US" w:eastAsia="es-MX"/>
        </w:rPr>
        <w:t>), the UC Merced IRB will determine the need for continuing review. Most expedited studies will not require continuing review. Reasons a study might maintain continuing review:</w:t>
      </w:r>
    </w:p>
    <w:p w14:paraId="5B024E46" w14:textId="77777777" w:rsidR="007A4032" w:rsidRPr="007A4032" w:rsidRDefault="007A4032" w:rsidP="007A4032">
      <w:pPr>
        <w:numPr>
          <w:ilvl w:val="0"/>
          <w:numId w:val="2"/>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 xml:space="preserve">The projects </w:t>
      </w:r>
      <w:proofErr w:type="gramStart"/>
      <w:r w:rsidRPr="007A4032">
        <w:rPr>
          <w:rFonts w:ascii="Times New Roman" w:eastAsia="Times New Roman" w:hAnsi="Times New Roman" w:cs="Times New Roman"/>
          <w:color w:val="323336"/>
          <w:szCs w:val="24"/>
          <w:lang w:val="en-US" w:eastAsia="es-MX"/>
        </w:rPr>
        <w:t>is</w:t>
      </w:r>
      <w:proofErr w:type="gramEnd"/>
      <w:r w:rsidRPr="007A4032">
        <w:rPr>
          <w:rFonts w:ascii="Times New Roman" w:eastAsia="Times New Roman" w:hAnsi="Times New Roman" w:cs="Times New Roman"/>
          <w:color w:val="323336"/>
          <w:szCs w:val="24"/>
          <w:lang w:val="en-US" w:eastAsia="es-MX"/>
        </w:rPr>
        <w:t xml:space="preserve"> regulated by a sponsor that requires continuing review (FDA)</w:t>
      </w:r>
    </w:p>
    <w:p w14:paraId="0281B3CB" w14:textId="77777777" w:rsidR="007A4032" w:rsidRPr="007A4032" w:rsidRDefault="007A4032" w:rsidP="007A4032">
      <w:pPr>
        <w:numPr>
          <w:ilvl w:val="0"/>
          <w:numId w:val="2"/>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project involves additional regulatory oversight, such as COI</w:t>
      </w:r>
    </w:p>
    <w:p w14:paraId="44DB167D" w14:textId="77777777" w:rsidR="007A4032" w:rsidRPr="007A4032" w:rsidRDefault="007A4032" w:rsidP="007A4032">
      <w:pPr>
        <w:numPr>
          <w:ilvl w:val="0"/>
          <w:numId w:val="2"/>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research will be conducted internationally and/or research with a reliance agreement</w:t>
      </w:r>
    </w:p>
    <w:p w14:paraId="23FA858B" w14:textId="77777777" w:rsidR="007A4032" w:rsidRPr="007A4032" w:rsidRDefault="007A4032" w:rsidP="007A4032">
      <w:pPr>
        <w:numPr>
          <w:ilvl w:val="0"/>
          <w:numId w:val="2"/>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investigator has had previous serious non-compliance or a pattern of non-compliance</w:t>
      </w:r>
    </w:p>
    <w:p w14:paraId="5CE1DE97"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New Process: 5-Year Administrative Check-In</w:t>
      </w:r>
    </w:p>
    <w:p w14:paraId="6025306E"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 xml:space="preserve">In order to close-out studies that are no longer active, all studies (not assigned an annual expiration date) will undergo an administrative check-in at the </w:t>
      </w:r>
      <w:proofErr w:type="gramStart"/>
      <w:r w:rsidRPr="007A4032">
        <w:rPr>
          <w:rFonts w:ascii="Times New Roman" w:eastAsia="Times New Roman" w:hAnsi="Times New Roman" w:cs="Times New Roman"/>
          <w:color w:val="323336"/>
          <w:szCs w:val="24"/>
          <w:lang w:val="en-US" w:eastAsia="es-MX"/>
        </w:rPr>
        <w:t>5 year</w:t>
      </w:r>
      <w:proofErr w:type="gramEnd"/>
      <w:r w:rsidRPr="007A4032">
        <w:rPr>
          <w:rFonts w:ascii="Times New Roman" w:eastAsia="Times New Roman" w:hAnsi="Times New Roman" w:cs="Times New Roman"/>
          <w:color w:val="323336"/>
          <w:szCs w:val="24"/>
          <w:lang w:val="en-US" w:eastAsia="es-MX"/>
        </w:rPr>
        <w:t xml:space="preserve"> mark.</w:t>
      </w:r>
    </w:p>
    <w:p w14:paraId="0DBFC32E"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Researcher Responsibilities</w:t>
      </w:r>
    </w:p>
    <w:p w14:paraId="10AF7FAD"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Although, in most cases, continuing review will not be required, the researchers are still responsible for:</w:t>
      </w:r>
    </w:p>
    <w:p w14:paraId="37C1B9A9" w14:textId="77777777" w:rsidR="007A4032" w:rsidRPr="007A4032" w:rsidRDefault="007A4032" w:rsidP="007A4032">
      <w:pPr>
        <w:numPr>
          <w:ilvl w:val="0"/>
          <w:numId w:val="3"/>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Submitting modifications for project changes,</w:t>
      </w:r>
    </w:p>
    <w:p w14:paraId="1DFC4982" w14:textId="77777777" w:rsidR="007A4032" w:rsidRPr="007A4032" w:rsidRDefault="007A4032" w:rsidP="007A4032">
      <w:pPr>
        <w:numPr>
          <w:ilvl w:val="0"/>
          <w:numId w:val="3"/>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Report</w:t>
      </w:r>
      <w:proofErr w:type="spellEnd"/>
      <w:r w:rsidRPr="007A4032">
        <w:rPr>
          <w:rFonts w:ascii="Times New Roman" w:eastAsia="Times New Roman" w:hAnsi="Times New Roman" w:cs="Times New Roman"/>
          <w:color w:val="323336"/>
          <w:szCs w:val="24"/>
          <w:lang w:eastAsia="es-MX"/>
        </w:rPr>
        <w:t xml:space="preserve"> Adverse </w:t>
      </w:r>
      <w:proofErr w:type="spellStart"/>
      <w:r w:rsidRPr="007A4032">
        <w:rPr>
          <w:rFonts w:ascii="Times New Roman" w:eastAsia="Times New Roman" w:hAnsi="Times New Roman" w:cs="Times New Roman"/>
          <w:color w:val="323336"/>
          <w:szCs w:val="24"/>
          <w:lang w:eastAsia="es-MX"/>
        </w:rPr>
        <w:t>Events</w:t>
      </w:r>
      <w:proofErr w:type="spellEnd"/>
      <w:r w:rsidRPr="007A4032">
        <w:rPr>
          <w:rFonts w:ascii="Times New Roman" w:eastAsia="Times New Roman" w:hAnsi="Times New Roman" w:cs="Times New Roman"/>
          <w:color w:val="323336"/>
          <w:szCs w:val="24"/>
          <w:lang w:eastAsia="es-MX"/>
        </w:rPr>
        <w:t>; and,</w:t>
      </w:r>
    </w:p>
    <w:p w14:paraId="729CD425" w14:textId="77777777" w:rsidR="007A4032" w:rsidRPr="007A4032" w:rsidRDefault="007A4032" w:rsidP="007A4032">
      <w:pPr>
        <w:numPr>
          <w:ilvl w:val="0"/>
          <w:numId w:val="3"/>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Terminate the project once it ends, or when personal identifiers are removed from the data/biospecimens and all codes and keys are destroyed.</w:t>
      </w:r>
    </w:p>
    <w:p w14:paraId="05837A11" w14:textId="541930AC" w:rsidR="008E41CB" w:rsidRDefault="007A4032">
      <w:pPr>
        <w:rPr>
          <w:rFonts w:ascii="Times New Roman" w:hAnsi="Times New Roman" w:cs="Times New Roman"/>
          <w:b/>
          <w:lang w:val="en-US"/>
        </w:rPr>
      </w:pPr>
      <w:r w:rsidRPr="007A4032">
        <w:rPr>
          <w:rFonts w:ascii="Times New Roman" w:hAnsi="Times New Roman" w:cs="Times New Roman"/>
          <w:b/>
          <w:lang w:val="en-US"/>
        </w:rPr>
        <w:lastRenderedPageBreak/>
        <w:t>Exemption Changes</w:t>
      </w:r>
    </w:p>
    <w:p w14:paraId="0EBA734B"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As of </w:t>
      </w:r>
      <w:r w:rsidRPr="007A4032">
        <w:rPr>
          <w:rFonts w:ascii="Times New Roman" w:eastAsia="Times New Roman" w:hAnsi="Times New Roman" w:cs="Times New Roman"/>
          <w:b/>
          <w:bCs/>
          <w:color w:val="323336"/>
          <w:szCs w:val="24"/>
          <w:lang w:val="en-US" w:eastAsia="es-MX"/>
        </w:rPr>
        <w:t>January 21, 2019</w:t>
      </w:r>
      <w:r w:rsidRPr="007A4032">
        <w:rPr>
          <w:rFonts w:ascii="Times New Roman" w:eastAsia="Times New Roman" w:hAnsi="Times New Roman" w:cs="Times New Roman"/>
          <w:color w:val="323336"/>
          <w:szCs w:val="24"/>
          <w:lang w:val="en-US" w:eastAsia="es-MX"/>
        </w:rPr>
        <w:t> with the implementation of the revised Common Rule, the </w:t>
      </w:r>
      <w:hyperlink r:id="rId5" w:anchor="46.101(b)" w:tgtFrame="_blank" w:history="1">
        <w:r w:rsidRPr="007A4032">
          <w:rPr>
            <w:rFonts w:ascii="Times New Roman" w:eastAsia="Times New Roman" w:hAnsi="Times New Roman" w:cs="Times New Roman"/>
            <w:b/>
            <w:bCs/>
            <w:color w:val="0000FF"/>
            <w:szCs w:val="24"/>
            <w:u w:val="single"/>
            <w:lang w:val="en-US" w:eastAsia="es-MX"/>
          </w:rPr>
          <w:t>current federally-defined exemption categories for human subjects research (link is external)</w:t>
        </w:r>
      </w:hyperlink>
      <w:r w:rsidRPr="007A4032">
        <w:rPr>
          <w:rFonts w:ascii="Times New Roman" w:eastAsia="Times New Roman" w:hAnsi="Times New Roman" w:cs="Times New Roman"/>
          <w:color w:val="323336"/>
          <w:szCs w:val="24"/>
          <w:lang w:val="en-US" w:eastAsia="es-MX"/>
        </w:rPr>
        <w:t> with:</w:t>
      </w:r>
    </w:p>
    <w:p w14:paraId="21E5B002" w14:textId="77777777" w:rsidR="007A4032" w:rsidRPr="007A4032" w:rsidRDefault="007A4032" w:rsidP="007A4032">
      <w:pPr>
        <w:numPr>
          <w:ilvl w:val="0"/>
          <w:numId w:val="4"/>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Modification</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to</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most</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existing</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categories</w:t>
      </w:r>
      <w:proofErr w:type="spellEnd"/>
    </w:p>
    <w:p w14:paraId="039DF334" w14:textId="77777777" w:rsidR="007A4032" w:rsidRPr="007A4032" w:rsidRDefault="007A4032" w:rsidP="007A4032">
      <w:pPr>
        <w:numPr>
          <w:ilvl w:val="0"/>
          <w:numId w:val="4"/>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Expansion in scope to several existing categories</w:t>
      </w:r>
    </w:p>
    <w:p w14:paraId="5D87C763" w14:textId="77777777" w:rsidR="007A4032" w:rsidRPr="007A4032" w:rsidRDefault="007A4032" w:rsidP="007A4032">
      <w:pPr>
        <w:numPr>
          <w:ilvl w:val="0"/>
          <w:numId w:val="4"/>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Addition</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of</w:t>
      </w:r>
      <w:proofErr w:type="spellEnd"/>
      <w:r w:rsidRPr="007A4032">
        <w:rPr>
          <w:rFonts w:ascii="Times New Roman" w:eastAsia="Times New Roman" w:hAnsi="Times New Roman" w:cs="Times New Roman"/>
          <w:color w:val="323336"/>
          <w:szCs w:val="24"/>
          <w:lang w:eastAsia="es-MX"/>
        </w:rPr>
        <w:t xml:space="preserve"> new </w:t>
      </w:r>
      <w:proofErr w:type="spellStart"/>
      <w:r w:rsidRPr="007A4032">
        <w:rPr>
          <w:rFonts w:ascii="Times New Roman" w:eastAsia="Times New Roman" w:hAnsi="Times New Roman" w:cs="Times New Roman"/>
          <w:color w:val="323336"/>
          <w:szCs w:val="24"/>
          <w:lang w:eastAsia="es-MX"/>
        </w:rPr>
        <w:t>categories</w:t>
      </w:r>
      <w:proofErr w:type="spellEnd"/>
    </w:p>
    <w:p w14:paraId="3CF91554" w14:textId="77777777" w:rsidR="007A4032" w:rsidRPr="007A4032" w:rsidRDefault="007A4032" w:rsidP="007A4032">
      <w:pPr>
        <w:numPr>
          <w:ilvl w:val="0"/>
          <w:numId w:val="4"/>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New exempt determination processes applicable in specific circumstances: Limited IRB review</w:t>
      </w:r>
    </w:p>
    <w:p w14:paraId="3AB414BA"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These changes reflect the recent trends in research oversight to reduce administrative burden on investigators and IRBs for minimal-risk research.</w:t>
      </w:r>
    </w:p>
    <w:p w14:paraId="298BFBEA"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Category Changes – Overview</w:t>
      </w:r>
    </w:p>
    <w:p w14:paraId="7A4BF966"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#1 – EDUCATIONAL EXEMPTION</w:t>
      </w:r>
    </w:p>
    <w:p w14:paraId="4FABC38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What’s New: Research that involves possible “adverse effects” on student learning of the required education content and/or on the assessment of educators is not eligible for this category.</w:t>
      </w:r>
    </w:p>
    <w:p w14:paraId="0B77F2AD"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#2 – SURVEYS, INTERVIEWS, EDUCATIONAL TESTS, AND OBSERVATION OF PUBLIC BEHAVIOR</w:t>
      </w:r>
    </w:p>
    <w:p w14:paraId="13A57CEA"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eastAsia="es-MX"/>
        </w:rPr>
      </w:pPr>
      <w:r w:rsidRPr="007A4032">
        <w:rPr>
          <w:rFonts w:ascii="Times New Roman" w:eastAsia="Times New Roman" w:hAnsi="Times New Roman" w:cs="Times New Roman"/>
          <w:color w:val="323336"/>
          <w:szCs w:val="24"/>
          <w:lang w:val="en-US" w:eastAsia="es-MX"/>
        </w:rPr>
        <w:t xml:space="preserve">What’s New: Expanded scope to include the collection of sensitive and identifiable data. </w:t>
      </w:r>
      <w:proofErr w:type="spellStart"/>
      <w:r w:rsidRPr="007A4032">
        <w:rPr>
          <w:rFonts w:ascii="Times New Roman" w:eastAsia="Times New Roman" w:hAnsi="Times New Roman" w:cs="Times New Roman"/>
          <w:color w:val="323336"/>
          <w:szCs w:val="24"/>
          <w:lang w:eastAsia="es-MX"/>
        </w:rPr>
        <w:t>Exclusions</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apply</w:t>
      </w:r>
      <w:proofErr w:type="spellEnd"/>
      <w:r w:rsidRPr="007A4032">
        <w:rPr>
          <w:rFonts w:ascii="Times New Roman" w:eastAsia="Times New Roman" w:hAnsi="Times New Roman" w:cs="Times New Roman"/>
          <w:color w:val="323336"/>
          <w:szCs w:val="24"/>
          <w:lang w:eastAsia="es-MX"/>
        </w:rPr>
        <w:t>:</w:t>
      </w:r>
    </w:p>
    <w:p w14:paraId="4EB5DAF9" w14:textId="77777777" w:rsidR="007A4032" w:rsidRPr="007A4032" w:rsidRDefault="007A4032" w:rsidP="007A4032">
      <w:pPr>
        <w:numPr>
          <w:ilvl w:val="0"/>
          <w:numId w:val="5"/>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Interventions</w:t>
      </w:r>
      <w:proofErr w:type="spellEnd"/>
    </w:p>
    <w:p w14:paraId="319E649D" w14:textId="77777777" w:rsidR="007A4032" w:rsidRPr="007A4032" w:rsidRDefault="007A4032" w:rsidP="007A4032">
      <w:pPr>
        <w:numPr>
          <w:ilvl w:val="0"/>
          <w:numId w:val="5"/>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Collection</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of</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biospecimens</w:t>
      </w:r>
      <w:proofErr w:type="spellEnd"/>
    </w:p>
    <w:p w14:paraId="2486B2EE" w14:textId="77777777" w:rsidR="007A4032" w:rsidRPr="007A4032" w:rsidRDefault="007A4032" w:rsidP="007A4032">
      <w:pPr>
        <w:numPr>
          <w:ilvl w:val="0"/>
          <w:numId w:val="5"/>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Linking to additional personally-identifiable data</w:t>
      </w:r>
    </w:p>
    <w:p w14:paraId="5E8B0A68" w14:textId="77777777" w:rsidR="007A4032" w:rsidRPr="007A4032" w:rsidRDefault="007A4032" w:rsidP="007A4032">
      <w:pPr>
        <w:numPr>
          <w:ilvl w:val="0"/>
          <w:numId w:val="5"/>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Research with children (</w:t>
      </w:r>
      <w:r w:rsidRPr="007A4032">
        <w:rPr>
          <w:rFonts w:ascii="Times New Roman" w:eastAsia="Times New Roman" w:hAnsi="Times New Roman" w:cs="Times New Roman"/>
          <w:i/>
          <w:iCs/>
          <w:color w:val="323336"/>
          <w:szCs w:val="24"/>
          <w:lang w:val="en-US" w:eastAsia="es-MX"/>
        </w:rPr>
        <w:t>except </w:t>
      </w:r>
      <w:r w:rsidRPr="007A4032">
        <w:rPr>
          <w:rFonts w:ascii="Times New Roman" w:eastAsia="Times New Roman" w:hAnsi="Times New Roman" w:cs="Times New Roman"/>
          <w:color w:val="323336"/>
          <w:szCs w:val="24"/>
          <w:lang w:val="en-US" w:eastAsia="es-MX"/>
        </w:rPr>
        <w:t>for educational tests or some public observation)</w:t>
      </w:r>
    </w:p>
    <w:p w14:paraId="171B2F98"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#3 – BENIGN BEHAVIORAL INTERVENTION (NEW CATEGORY)</w:t>
      </w:r>
    </w:p>
    <w:p w14:paraId="08FD9EB5"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eastAsia="es-MX"/>
        </w:rPr>
      </w:pPr>
      <w:r w:rsidRPr="007A4032">
        <w:rPr>
          <w:rFonts w:ascii="Times New Roman" w:eastAsia="Times New Roman" w:hAnsi="Times New Roman" w:cs="Times New Roman"/>
          <w:color w:val="323336"/>
          <w:szCs w:val="24"/>
          <w:lang w:val="en-US" w:eastAsia="es-MX"/>
        </w:rPr>
        <w:t xml:space="preserve">What’s New: Permits data collection via an interaction (survey, interview, audio/visual recording, etc.) from adult subjects with prospective agreement. </w:t>
      </w:r>
      <w:proofErr w:type="spellStart"/>
      <w:r w:rsidRPr="007A4032">
        <w:rPr>
          <w:rFonts w:ascii="Times New Roman" w:eastAsia="Times New Roman" w:hAnsi="Times New Roman" w:cs="Times New Roman"/>
          <w:color w:val="323336"/>
          <w:szCs w:val="24"/>
          <w:lang w:eastAsia="es-MX"/>
        </w:rPr>
        <w:t>Exclusions</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apply</w:t>
      </w:r>
      <w:proofErr w:type="spellEnd"/>
      <w:r w:rsidRPr="007A4032">
        <w:rPr>
          <w:rFonts w:ascii="Times New Roman" w:eastAsia="Times New Roman" w:hAnsi="Times New Roman" w:cs="Times New Roman"/>
          <w:color w:val="323336"/>
          <w:szCs w:val="24"/>
          <w:lang w:eastAsia="es-MX"/>
        </w:rPr>
        <w:t>:</w:t>
      </w:r>
    </w:p>
    <w:p w14:paraId="04BE39FC" w14:textId="77777777" w:rsidR="007A4032" w:rsidRPr="007A4032" w:rsidRDefault="007A4032" w:rsidP="007A4032">
      <w:pPr>
        <w:numPr>
          <w:ilvl w:val="0"/>
          <w:numId w:val="6"/>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Research</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with</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children</w:t>
      </w:r>
      <w:proofErr w:type="spellEnd"/>
    </w:p>
    <w:p w14:paraId="10C31CD1" w14:textId="77777777" w:rsidR="007A4032" w:rsidRPr="007A4032" w:rsidRDefault="007A4032" w:rsidP="007A4032">
      <w:pPr>
        <w:numPr>
          <w:ilvl w:val="0"/>
          <w:numId w:val="6"/>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Deception</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unless</w:t>
      </w:r>
      <w:proofErr w:type="spellEnd"/>
      <w:r w:rsidRPr="007A4032">
        <w:rPr>
          <w:rFonts w:ascii="Times New Roman" w:eastAsia="Times New Roman" w:hAnsi="Times New Roman" w:cs="Times New Roman"/>
          <w:color w:val="323336"/>
          <w:szCs w:val="24"/>
          <w:lang w:eastAsia="es-MX"/>
        </w:rPr>
        <w:t xml:space="preserve"> prior </w:t>
      </w:r>
      <w:proofErr w:type="spellStart"/>
      <w:r w:rsidRPr="007A4032">
        <w:rPr>
          <w:rFonts w:ascii="Times New Roman" w:eastAsia="Times New Roman" w:hAnsi="Times New Roman" w:cs="Times New Roman"/>
          <w:color w:val="323336"/>
          <w:szCs w:val="24"/>
          <w:lang w:eastAsia="es-MX"/>
        </w:rPr>
        <w:t>agreement</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obtained</w:t>
      </w:r>
      <w:proofErr w:type="spellEnd"/>
    </w:p>
    <w:p w14:paraId="28352E1B" w14:textId="77777777" w:rsidR="007A4032" w:rsidRPr="007A4032" w:rsidRDefault="007A4032" w:rsidP="007A4032">
      <w:pPr>
        <w:numPr>
          <w:ilvl w:val="0"/>
          <w:numId w:val="6"/>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 xml:space="preserve">Physiological data collection methods (EGG, wearable devices, such as </w:t>
      </w:r>
      <w:proofErr w:type="spellStart"/>
      <w:r w:rsidRPr="007A4032">
        <w:rPr>
          <w:rFonts w:ascii="Times New Roman" w:eastAsia="Times New Roman" w:hAnsi="Times New Roman" w:cs="Times New Roman"/>
          <w:color w:val="323336"/>
          <w:szCs w:val="24"/>
          <w:lang w:val="en-US" w:eastAsia="es-MX"/>
        </w:rPr>
        <w:t>FitBit</w:t>
      </w:r>
      <w:proofErr w:type="spellEnd"/>
      <w:r w:rsidRPr="007A4032">
        <w:rPr>
          <w:rFonts w:ascii="Times New Roman" w:eastAsia="Times New Roman" w:hAnsi="Times New Roman" w:cs="Times New Roman"/>
          <w:color w:val="323336"/>
          <w:szCs w:val="24"/>
          <w:lang w:val="en-US" w:eastAsia="es-MX"/>
        </w:rPr>
        <w:t>, blood pressure monitors, etc.)</w:t>
      </w:r>
    </w:p>
    <w:p w14:paraId="1B3693C8" w14:textId="77777777" w:rsidR="007A4032" w:rsidRPr="007A4032" w:rsidRDefault="007A4032" w:rsidP="007A4032">
      <w:pPr>
        <w:numPr>
          <w:ilvl w:val="0"/>
          <w:numId w:val="6"/>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Linking to additional personally-identifiable data</w:t>
      </w:r>
    </w:p>
    <w:p w14:paraId="17D02E8F"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#4 – SECONDARY RESEARCH (IDENTIFIABLE PRIVATE INFORMATION/BIOSPECIMENS</w:t>
      </w:r>
    </w:p>
    <w:p w14:paraId="2896E1B1"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What’s New: Scope expanded to allow:</w:t>
      </w:r>
    </w:p>
    <w:p w14:paraId="3F5D108D" w14:textId="77777777" w:rsidR="007A4032" w:rsidRPr="007A4032" w:rsidRDefault="007A4032" w:rsidP="007A4032">
      <w:pPr>
        <w:numPr>
          <w:ilvl w:val="0"/>
          <w:numId w:val="7"/>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lastRenderedPageBreak/>
        <w:t>Prospective</w:t>
      </w:r>
      <w:proofErr w:type="spellEnd"/>
      <w:r w:rsidRPr="007A4032">
        <w:rPr>
          <w:rFonts w:ascii="Times New Roman" w:eastAsia="Times New Roman" w:hAnsi="Times New Roman" w:cs="Times New Roman"/>
          <w:color w:val="323336"/>
          <w:szCs w:val="24"/>
          <w:lang w:eastAsia="es-MX"/>
        </w:rPr>
        <w:t xml:space="preserve"> data </w:t>
      </w:r>
      <w:proofErr w:type="spellStart"/>
      <w:r w:rsidRPr="007A4032">
        <w:rPr>
          <w:rFonts w:ascii="Times New Roman" w:eastAsia="Times New Roman" w:hAnsi="Times New Roman" w:cs="Times New Roman"/>
          <w:color w:val="323336"/>
          <w:szCs w:val="24"/>
          <w:lang w:eastAsia="es-MX"/>
        </w:rPr>
        <w:t>review</w:t>
      </w:r>
      <w:proofErr w:type="spellEnd"/>
    </w:p>
    <w:p w14:paraId="7050D579" w14:textId="77777777" w:rsidR="007A4032" w:rsidRPr="007A4032" w:rsidRDefault="007A4032" w:rsidP="007A4032">
      <w:pPr>
        <w:numPr>
          <w:ilvl w:val="0"/>
          <w:numId w:val="7"/>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Maintenance of identifiers, if all study data is protected health information (PHI)</w:t>
      </w:r>
    </w:p>
    <w:p w14:paraId="681A8482" w14:textId="77777777" w:rsidR="007A4032" w:rsidRPr="007A4032" w:rsidRDefault="007A4032" w:rsidP="007A4032">
      <w:pPr>
        <w:numPr>
          <w:ilvl w:val="0"/>
          <w:numId w:val="7"/>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Research that is conducted by, or on behalf of, a Federal department/agency or using government-generated or government-collected information obtained for non-research activities</w:t>
      </w:r>
    </w:p>
    <w:p w14:paraId="5C5A4B5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#5 – PUBLIC BENEFIT/SERVICE PROGRAM RESEARCH (FEDERAL DEMONSTRATION PROJECTS)</w:t>
      </w:r>
    </w:p>
    <w:p w14:paraId="0F081EF9"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What’s New: Project must be published on a federal website.</w:t>
      </w:r>
    </w:p>
    <w:p w14:paraId="4598E0F1"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#6 – TASTE/FOOD QUALITY EVALUATION &amp; CONSUMER ACCEPTANCE</w:t>
      </w:r>
    </w:p>
    <w:p w14:paraId="14FA5705"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What’s New: Unchanged</w:t>
      </w:r>
    </w:p>
    <w:p w14:paraId="62E909A5"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#7 – STORAGE/MAINTENANCE OF IDENTIFIABLE DATA/BIOSPECIMENS OBTAINED WITH “BROAD CONSENT” (NEW)</w:t>
      </w:r>
    </w:p>
    <w:p w14:paraId="2123ECF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This category will not be implemented at UC Merced.</w:t>
      </w:r>
    </w:p>
    <w:p w14:paraId="7A457F89"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#8 – USE OF IDENTIFIABLE DATA/BIOSPECIMENS OBATINED WITH “BROAD CONSENT” (NEW)</w:t>
      </w:r>
    </w:p>
    <w:p w14:paraId="573AAE7E"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This category will not be implemented at UC Merced</w:t>
      </w:r>
    </w:p>
    <w:p w14:paraId="0144FE34"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New Process</w:t>
      </w:r>
    </w:p>
    <w:p w14:paraId="4ED8CFFB"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Limited IRB Review is a type of expedited review process required in the Common Rule. Its purpose is to ensure privacy/confidentiality protections are in place with exempt research that involves the collection or use of sensitive, identifiable data (exemptions 2, 3 and 8) </w:t>
      </w:r>
      <w:r w:rsidRPr="007A4032">
        <w:rPr>
          <w:rFonts w:ascii="Times New Roman" w:eastAsia="Times New Roman" w:hAnsi="Times New Roman" w:cs="Times New Roman"/>
          <w:b/>
          <w:bCs/>
          <w:color w:val="323336"/>
          <w:szCs w:val="24"/>
          <w:lang w:val="en-US" w:eastAsia="es-MX"/>
        </w:rPr>
        <w:t>and</w:t>
      </w:r>
      <w:r w:rsidRPr="007A4032">
        <w:rPr>
          <w:rFonts w:ascii="Times New Roman" w:eastAsia="Times New Roman" w:hAnsi="Times New Roman" w:cs="Times New Roman"/>
          <w:color w:val="323336"/>
          <w:szCs w:val="24"/>
          <w:lang w:val="en-US" w:eastAsia="es-MX"/>
        </w:rPr>
        <w:t>, for exemption 7, that "broad consent" was obtained and (if appropriate) documented according to an approved protocol. For exempt studies involving access to PHI (e.g., from medical records), the required Privacy Board review may be integrated with Limited IRB Review by the same assigned reviewer. </w:t>
      </w:r>
      <w:r w:rsidRPr="007A4032">
        <w:rPr>
          <w:rFonts w:ascii="Times New Roman" w:eastAsia="Times New Roman" w:hAnsi="Times New Roman" w:cs="Times New Roman"/>
          <w:b/>
          <w:bCs/>
          <w:color w:val="323336"/>
          <w:szCs w:val="24"/>
          <w:lang w:val="en-US" w:eastAsia="es-MX"/>
        </w:rPr>
        <w:t>UC Merced will not implement category 7 and 8</w:t>
      </w:r>
      <w:r w:rsidRPr="007A4032">
        <w:rPr>
          <w:rFonts w:ascii="Times New Roman" w:eastAsia="Times New Roman" w:hAnsi="Times New Roman" w:cs="Times New Roman"/>
          <w:color w:val="323336"/>
          <w:szCs w:val="24"/>
          <w:lang w:val="en-US" w:eastAsia="es-MX"/>
        </w:rPr>
        <w:t>.</w:t>
      </w:r>
    </w:p>
    <w:p w14:paraId="6EAFA7C6"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Transition Process</w:t>
      </w:r>
    </w:p>
    <w:p w14:paraId="63C44932"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STUDIES</w:t>
      </w:r>
    </w:p>
    <w:p w14:paraId="7C38DD26" w14:textId="77777777" w:rsidR="007A4032" w:rsidRPr="007A4032" w:rsidRDefault="007A4032" w:rsidP="007A4032">
      <w:pPr>
        <w:numPr>
          <w:ilvl w:val="0"/>
          <w:numId w:val="8"/>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exempt studies will not transition to the new categories.</w:t>
      </w:r>
    </w:p>
    <w:p w14:paraId="2C8900C7" w14:textId="77777777" w:rsidR="007A4032" w:rsidRPr="007A4032" w:rsidRDefault="007A4032" w:rsidP="007A4032">
      <w:pPr>
        <w:numPr>
          <w:ilvl w:val="0"/>
          <w:numId w:val="8"/>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expedited studies that may fall under a new exempt category will not be transitioned unless agreed upon by the IRB and researchers associated with the study or the study obtains federal funding.</w:t>
      </w:r>
    </w:p>
    <w:p w14:paraId="1EEFA371"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eastAsia="es-MX"/>
        </w:rPr>
      </w:pPr>
      <w:r w:rsidRPr="007A4032">
        <w:rPr>
          <w:rFonts w:ascii="Times New Roman" w:eastAsia="Times New Roman" w:hAnsi="Times New Roman" w:cs="Times New Roman"/>
          <w:color w:val="323336"/>
          <w:szCs w:val="24"/>
          <w:lang w:eastAsia="es-MX"/>
        </w:rPr>
        <w:t>NEW STUDIES</w:t>
      </w:r>
    </w:p>
    <w:p w14:paraId="6A5DF506" w14:textId="77777777" w:rsidR="007A4032" w:rsidRPr="007A4032" w:rsidRDefault="007A4032" w:rsidP="007A4032">
      <w:pPr>
        <w:numPr>
          <w:ilvl w:val="0"/>
          <w:numId w:val="9"/>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New studies that qualify for an exemption submitted after January 21, 2019 will utilize the new exemption categories.</w:t>
      </w:r>
    </w:p>
    <w:p w14:paraId="656D0E4C" w14:textId="08A44A1F" w:rsidR="007A4032" w:rsidRPr="007A4032" w:rsidRDefault="007A4032">
      <w:pPr>
        <w:rPr>
          <w:rFonts w:ascii="Times New Roman" w:hAnsi="Times New Roman" w:cs="Times New Roman"/>
          <w:b/>
          <w:lang w:val="en-US"/>
        </w:rPr>
      </w:pPr>
      <w:r>
        <w:rPr>
          <w:rFonts w:ascii="Times New Roman" w:hAnsi="Times New Roman" w:cs="Times New Roman"/>
          <w:b/>
          <w:lang w:val="en-US"/>
        </w:rPr>
        <w:lastRenderedPageBreak/>
        <w:t>Informed Consent</w:t>
      </w:r>
    </w:p>
    <w:p w14:paraId="0B2A65B1"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Under the revised Common Rule, the </w:t>
      </w:r>
      <w:r w:rsidRPr="007A4032">
        <w:rPr>
          <w:rFonts w:ascii="Times New Roman" w:eastAsia="Times New Roman" w:hAnsi="Times New Roman" w:cs="Times New Roman"/>
          <w:b/>
          <w:bCs/>
          <w:color w:val="323336"/>
          <w:szCs w:val="24"/>
          <w:lang w:val="en-US" w:eastAsia="es-MX"/>
        </w:rPr>
        <w:t>requirements for informed consent</w:t>
      </w:r>
      <w:r w:rsidRPr="007A4032">
        <w:rPr>
          <w:rFonts w:ascii="Times New Roman" w:eastAsia="Times New Roman" w:hAnsi="Times New Roman" w:cs="Times New Roman"/>
          <w:color w:val="323336"/>
          <w:szCs w:val="24"/>
          <w:lang w:val="en-US" w:eastAsia="es-MX"/>
        </w:rPr>
        <w:t> will change, with the addition of:</w:t>
      </w:r>
    </w:p>
    <w:p w14:paraId="748BF62A" w14:textId="77777777" w:rsidR="007A4032" w:rsidRPr="007A4032" w:rsidRDefault="007A4032" w:rsidP="007A4032">
      <w:pPr>
        <w:numPr>
          <w:ilvl w:val="0"/>
          <w:numId w:val="10"/>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"Key information" to be presented at the beginning of the consent form found on our </w:t>
      </w:r>
      <w:r w:rsidRPr="007A4032">
        <w:rPr>
          <w:rFonts w:ascii="Times New Roman" w:eastAsia="Times New Roman" w:hAnsi="Times New Roman" w:cs="Times New Roman"/>
          <w:color w:val="323336"/>
          <w:szCs w:val="24"/>
          <w:lang w:eastAsia="es-MX"/>
        </w:rPr>
        <w:fldChar w:fldCharType="begin"/>
      </w:r>
      <w:r w:rsidRPr="007A4032">
        <w:rPr>
          <w:rFonts w:ascii="Times New Roman" w:eastAsia="Times New Roman" w:hAnsi="Times New Roman" w:cs="Times New Roman"/>
          <w:color w:val="323336"/>
          <w:szCs w:val="24"/>
          <w:lang w:val="en-US" w:eastAsia="es-MX"/>
        </w:rPr>
        <w:instrText xml:space="preserve"> HYPERLINK "https://rci.ucmerced.edu/irb/resources/forms" </w:instrText>
      </w:r>
      <w:r w:rsidRPr="007A4032">
        <w:rPr>
          <w:rFonts w:ascii="Times New Roman" w:eastAsia="Times New Roman" w:hAnsi="Times New Roman" w:cs="Times New Roman"/>
          <w:color w:val="323336"/>
          <w:szCs w:val="24"/>
          <w:lang w:eastAsia="es-MX"/>
        </w:rPr>
        <w:fldChar w:fldCharType="separate"/>
      </w:r>
      <w:r w:rsidRPr="007A4032">
        <w:rPr>
          <w:rFonts w:ascii="Times New Roman" w:eastAsia="Times New Roman" w:hAnsi="Times New Roman" w:cs="Times New Roman"/>
          <w:color w:val="0F2D52"/>
          <w:szCs w:val="24"/>
          <w:u w:val="single"/>
          <w:lang w:val="en-US" w:eastAsia="es-MX"/>
        </w:rPr>
        <w:t>new templa</w:t>
      </w:r>
      <w:bookmarkStart w:id="0" w:name="_GoBack"/>
      <w:bookmarkEnd w:id="0"/>
      <w:r w:rsidRPr="007A4032">
        <w:rPr>
          <w:rFonts w:ascii="Times New Roman" w:eastAsia="Times New Roman" w:hAnsi="Times New Roman" w:cs="Times New Roman"/>
          <w:color w:val="0F2D52"/>
          <w:szCs w:val="24"/>
          <w:u w:val="single"/>
          <w:lang w:val="en-US" w:eastAsia="es-MX"/>
        </w:rPr>
        <w:t>t</w:t>
      </w:r>
      <w:r w:rsidRPr="007A4032">
        <w:rPr>
          <w:rFonts w:ascii="Times New Roman" w:eastAsia="Times New Roman" w:hAnsi="Times New Roman" w:cs="Times New Roman"/>
          <w:color w:val="0F2D52"/>
          <w:szCs w:val="24"/>
          <w:u w:val="single"/>
          <w:lang w:val="en-US" w:eastAsia="es-MX"/>
        </w:rPr>
        <w:t>es</w:t>
      </w:r>
      <w:r w:rsidRPr="007A4032">
        <w:rPr>
          <w:rFonts w:ascii="Times New Roman" w:eastAsia="Times New Roman" w:hAnsi="Times New Roman" w:cs="Times New Roman"/>
          <w:color w:val="323336"/>
          <w:szCs w:val="24"/>
          <w:lang w:eastAsia="es-MX"/>
        </w:rPr>
        <w:fldChar w:fldCharType="end"/>
      </w:r>
      <w:r w:rsidRPr="007A4032">
        <w:rPr>
          <w:rFonts w:ascii="Times New Roman" w:eastAsia="Times New Roman" w:hAnsi="Times New Roman" w:cs="Times New Roman"/>
          <w:color w:val="323336"/>
          <w:szCs w:val="24"/>
          <w:lang w:val="en-US" w:eastAsia="es-MX"/>
        </w:rPr>
        <w:t> </w:t>
      </w:r>
      <w:r w:rsidRPr="007A4032">
        <w:rPr>
          <w:rFonts w:ascii="Times New Roman" w:eastAsia="Times New Roman" w:hAnsi="Times New Roman" w:cs="Times New Roman"/>
          <w:b/>
          <w:bCs/>
          <w:color w:val="323336"/>
          <w:szCs w:val="24"/>
          <w:lang w:val="en-US" w:eastAsia="es-MX"/>
        </w:rPr>
        <w:t>if a consent form is over 3 pages.</w:t>
      </w:r>
    </w:p>
    <w:p w14:paraId="386F924F" w14:textId="77777777" w:rsidR="007A4032" w:rsidRPr="007A4032" w:rsidRDefault="007A4032" w:rsidP="007A4032">
      <w:pPr>
        <w:numPr>
          <w:ilvl w:val="0"/>
          <w:numId w:val="10"/>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r w:rsidRPr="007A4032">
        <w:rPr>
          <w:rFonts w:ascii="Arial" w:eastAsia="Times New Roman" w:hAnsi="Arial" w:cs="Arial"/>
          <w:color w:val="323336"/>
          <w:szCs w:val="24"/>
          <w:lang w:eastAsia="es-MX"/>
        </w:rPr>
        <w:fldChar w:fldCharType="begin"/>
      </w:r>
      <w:r w:rsidRPr="007A4032">
        <w:rPr>
          <w:rFonts w:ascii="Arial" w:eastAsia="Times New Roman" w:hAnsi="Arial" w:cs="Arial"/>
          <w:color w:val="323336"/>
          <w:szCs w:val="24"/>
          <w:lang w:eastAsia="es-MX"/>
        </w:rPr>
        <w:instrText xml:space="preserve"> HYPERLINK "https://rci.ucmerced.edu/node/25" </w:instrText>
      </w:r>
      <w:r w:rsidRPr="007A4032">
        <w:rPr>
          <w:rFonts w:ascii="Arial" w:eastAsia="Times New Roman" w:hAnsi="Arial" w:cs="Arial"/>
          <w:color w:val="323336"/>
          <w:szCs w:val="24"/>
          <w:lang w:eastAsia="es-MX"/>
        </w:rPr>
        <w:fldChar w:fldCharType="separate"/>
      </w:r>
      <w:r w:rsidRPr="007A4032">
        <w:rPr>
          <w:rFonts w:ascii="Times New Roman" w:eastAsia="Times New Roman" w:hAnsi="Times New Roman" w:cs="Times New Roman"/>
          <w:color w:val="0F2D52"/>
          <w:szCs w:val="24"/>
          <w:lang w:eastAsia="es-MX"/>
        </w:rPr>
        <w:t xml:space="preserve">New </w:t>
      </w:r>
      <w:proofErr w:type="spellStart"/>
      <w:r w:rsidRPr="007A4032">
        <w:rPr>
          <w:rFonts w:ascii="Times New Roman" w:eastAsia="Times New Roman" w:hAnsi="Times New Roman" w:cs="Times New Roman"/>
          <w:color w:val="0F2D52"/>
          <w:szCs w:val="24"/>
          <w:lang w:eastAsia="es-MX"/>
        </w:rPr>
        <w:t>consent</w:t>
      </w:r>
      <w:proofErr w:type="spellEnd"/>
      <w:r w:rsidRPr="007A4032">
        <w:rPr>
          <w:rFonts w:ascii="Times New Roman" w:eastAsia="Times New Roman" w:hAnsi="Times New Roman" w:cs="Times New Roman"/>
          <w:color w:val="0F2D52"/>
          <w:szCs w:val="24"/>
          <w:lang w:eastAsia="es-MX"/>
        </w:rPr>
        <w:t xml:space="preserve"> </w:t>
      </w:r>
      <w:proofErr w:type="spellStart"/>
      <w:r w:rsidRPr="007A4032">
        <w:rPr>
          <w:rFonts w:ascii="Times New Roman" w:eastAsia="Times New Roman" w:hAnsi="Times New Roman" w:cs="Times New Roman"/>
          <w:color w:val="0F2D52"/>
          <w:szCs w:val="24"/>
          <w:lang w:eastAsia="es-MX"/>
        </w:rPr>
        <w:t>elements</w:t>
      </w:r>
      <w:proofErr w:type="spellEnd"/>
      <w:r w:rsidRPr="007A4032">
        <w:rPr>
          <w:rFonts w:ascii="Arial" w:eastAsia="Times New Roman" w:hAnsi="Arial" w:cs="Arial"/>
          <w:color w:val="323336"/>
          <w:szCs w:val="24"/>
          <w:lang w:eastAsia="es-MX"/>
        </w:rPr>
        <w:fldChar w:fldCharType="end"/>
      </w:r>
    </w:p>
    <w:p w14:paraId="2B4CADA7" w14:textId="77777777" w:rsidR="007A4032" w:rsidRPr="007A4032" w:rsidRDefault="007A4032" w:rsidP="007A4032">
      <w:pPr>
        <w:numPr>
          <w:ilvl w:val="0"/>
          <w:numId w:val="10"/>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Changes to waiver criteria and documentation</w:t>
      </w:r>
    </w:p>
    <w:p w14:paraId="37AEA80D" w14:textId="77777777" w:rsidR="007A4032" w:rsidRPr="007A4032" w:rsidRDefault="007A4032" w:rsidP="007A4032">
      <w:pPr>
        <w:numPr>
          <w:ilvl w:val="0"/>
          <w:numId w:val="10"/>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r w:rsidRPr="007A4032">
        <w:rPr>
          <w:rFonts w:ascii="Times New Roman" w:eastAsia="Times New Roman" w:hAnsi="Times New Roman" w:cs="Times New Roman"/>
          <w:color w:val="323336"/>
          <w:szCs w:val="24"/>
          <w:lang w:eastAsia="es-MX"/>
        </w:rPr>
        <w:t xml:space="preserve">Broad </w:t>
      </w:r>
      <w:proofErr w:type="spellStart"/>
      <w:r w:rsidRPr="007A4032">
        <w:rPr>
          <w:rFonts w:ascii="Times New Roman" w:eastAsia="Times New Roman" w:hAnsi="Times New Roman" w:cs="Times New Roman"/>
          <w:color w:val="323336"/>
          <w:szCs w:val="24"/>
          <w:lang w:eastAsia="es-MX"/>
        </w:rPr>
        <w:t>Consent</w:t>
      </w:r>
      <w:proofErr w:type="spellEnd"/>
    </w:p>
    <w:p w14:paraId="4271C008"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intent of these changes is to facilitate the subjects' understanding of the proposed research and also ensure that they understand how their data and biospecimens may be used.</w:t>
      </w:r>
    </w:p>
    <w:p w14:paraId="20E0CD6C"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Key Information</w:t>
      </w:r>
    </w:p>
    <w:p w14:paraId="6B356BE4"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preamble to the Final Rule lists five factors suggested as “key information” that would likely assist a potential subject in understanding the nature of the project and in determining participation.</w:t>
      </w:r>
    </w:p>
    <w:p w14:paraId="7B790ADA" w14:textId="77777777" w:rsidR="007A4032" w:rsidRPr="007A4032" w:rsidRDefault="007A4032" w:rsidP="007A4032">
      <w:pPr>
        <w:numPr>
          <w:ilvl w:val="0"/>
          <w:numId w:val="11"/>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 statement that the project is research and participation is voluntary.</w:t>
      </w:r>
    </w:p>
    <w:p w14:paraId="6DA2454E" w14:textId="77777777" w:rsidR="007A4032" w:rsidRPr="007A4032" w:rsidRDefault="007A4032" w:rsidP="007A4032">
      <w:pPr>
        <w:numPr>
          <w:ilvl w:val="0"/>
          <w:numId w:val="11"/>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 summary of the research, including: Purpose, duration, list of procedures</w:t>
      </w:r>
    </w:p>
    <w:p w14:paraId="0549A1C6" w14:textId="77777777" w:rsidR="007A4032" w:rsidRPr="007A4032" w:rsidRDefault="007A4032" w:rsidP="007A4032">
      <w:pPr>
        <w:numPr>
          <w:ilvl w:val="0"/>
          <w:numId w:val="11"/>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Reasonable</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foreseeable</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risks</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or</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discomforts</w:t>
      </w:r>
      <w:proofErr w:type="spellEnd"/>
    </w:p>
    <w:p w14:paraId="74CFD3B6" w14:textId="77777777" w:rsidR="007A4032" w:rsidRPr="007A4032" w:rsidRDefault="007A4032" w:rsidP="007A4032">
      <w:pPr>
        <w:numPr>
          <w:ilvl w:val="0"/>
          <w:numId w:val="11"/>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Reasonable</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expected</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benefits</w:t>
      </w:r>
      <w:proofErr w:type="spellEnd"/>
    </w:p>
    <w:p w14:paraId="63F9E274" w14:textId="77777777" w:rsidR="007A4032" w:rsidRPr="007A4032" w:rsidRDefault="007A4032" w:rsidP="007A4032">
      <w:pPr>
        <w:numPr>
          <w:ilvl w:val="0"/>
          <w:numId w:val="11"/>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Alternative procedures or course of treatment, if any.</w:t>
      </w:r>
    </w:p>
    <w:p w14:paraId="0471675E"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Many SBER studies already employ a brief informed consent document, thus, including the “key information” section would be redundant.</w:t>
      </w:r>
    </w:p>
    <w:p w14:paraId="0D9731DB"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New Consent Elements</w:t>
      </w:r>
    </w:p>
    <w:p w14:paraId="7C605494"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When your study involves the collection of identifiable private information or identifiable biospecimens the informed consent must include a statement indicating whether:</w:t>
      </w:r>
    </w:p>
    <w:p w14:paraId="1699B08C" w14:textId="77777777" w:rsidR="007A4032" w:rsidRPr="007A4032" w:rsidRDefault="007A4032" w:rsidP="007A4032">
      <w:pPr>
        <w:numPr>
          <w:ilvl w:val="0"/>
          <w:numId w:val="12"/>
        </w:numPr>
        <w:shd w:val="clear" w:color="auto" w:fill="FFFFFF"/>
        <w:spacing w:before="100" w:beforeAutospacing="1" w:after="100" w:afterAutospacing="1" w:line="360" w:lineRule="atLeast"/>
        <w:ind w:left="375"/>
        <w:rPr>
          <w:rFonts w:ascii="Arial" w:eastAsia="Times New Roman" w:hAnsi="Arial" w:cs="Arial"/>
          <w:color w:val="323336"/>
          <w:szCs w:val="24"/>
          <w:lang w:eastAsia="es-MX"/>
        </w:rPr>
      </w:pPr>
      <w:proofErr w:type="spellStart"/>
      <w:r w:rsidRPr="007A4032">
        <w:rPr>
          <w:rFonts w:ascii="Times New Roman" w:eastAsia="Times New Roman" w:hAnsi="Times New Roman" w:cs="Times New Roman"/>
          <w:color w:val="323336"/>
          <w:szCs w:val="24"/>
          <w:lang w:eastAsia="es-MX"/>
        </w:rPr>
        <w:t>identifiers</w:t>
      </w:r>
      <w:proofErr w:type="spellEnd"/>
      <w:r w:rsidRPr="007A4032">
        <w:rPr>
          <w:rFonts w:ascii="Times New Roman" w:eastAsia="Times New Roman" w:hAnsi="Times New Roman" w:cs="Times New Roman"/>
          <w:color w:val="323336"/>
          <w:szCs w:val="24"/>
          <w:lang w:eastAsia="es-MX"/>
        </w:rPr>
        <w:t xml:space="preserve"> </w:t>
      </w:r>
      <w:proofErr w:type="spellStart"/>
      <w:r w:rsidRPr="007A4032">
        <w:rPr>
          <w:rFonts w:ascii="Times New Roman" w:eastAsia="Times New Roman" w:hAnsi="Times New Roman" w:cs="Times New Roman"/>
          <w:color w:val="323336"/>
          <w:szCs w:val="24"/>
          <w:lang w:eastAsia="es-MX"/>
        </w:rPr>
        <w:t>may</w:t>
      </w:r>
      <w:proofErr w:type="spellEnd"/>
      <w:r w:rsidRPr="007A4032">
        <w:rPr>
          <w:rFonts w:ascii="Times New Roman" w:eastAsia="Times New Roman" w:hAnsi="Times New Roman" w:cs="Times New Roman"/>
          <w:color w:val="323336"/>
          <w:szCs w:val="24"/>
          <w:lang w:eastAsia="es-MX"/>
        </w:rPr>
        <w:t xml:space="preserve"> be removed, and</w:t>
      </w:r>
    </w:p>
    <w:p w14:paraId="2116AB3A" w14:textId="77777777" w:rsidR="007A4032" w:rsidRPr="007A4032" w:rsidRDefault="007A4032" w:rsidP="007A4032">
      <w:pPr>
        <w:numPr>
          <w:ilvl w:val="0"/>
          <w:numId w:val="12"/>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de-identified information or biospecimens may or may not be used or shared for future research.</w:t>
      </w:r>
    </w:p>
    <w:p w14:paraId="7DB384AB"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When your study involves use of biospecimens the informed consent should include a statement indicating whether:</w:t>
      </w:r>
    </w:p>
    <w:p w14:paraId="6AF58197" w14:textId="77777777" w:rsidR="007A4032" w:rsidRPr="007A4032" w:rsidRDefault="007A4032" w:rsidP="007A4032">
      <w:pPr>
        <w:numPr>
          <w:ilvl w:val="0"/>
          <w:numId w:val="13"/>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biospecimens may be used for commercial profit, and</w:t>
      </w:r>
    </w:p>
    <w:p w14:paraId="6779663A" w14:textId="77777777" w:rsidR="007A4032" w:rsidRPr="007A4032" w:rsidRDefault="007A4032" w:rsidP="007A4032">
      <w:pPr>
        <w:numPr>
          <w:ilvl w:val="0"/>
          <w:numId w:val="13"/>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the subjects will share in the profit</w:t>
      </w:r>
    </w:p>
    <w:p w14:paraId="3753C053"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lastRenderedPageBreak/>
        <w:t>When your study involves clinically relevant results the informed consent should include a statement indicating whether the clinical results, including individual research results, will be returned to the subject, and if so, under what conditions</w:t>
      </w:r>
    </w:p>
    <w:p w14:paraId="2305F04B"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When your study involves whole genome sequencing the informed consent should include a statement indicating that the research will or might include whole genome sequencing</w:t>
      </w:r>
    </w:p>
    <w:p w14:paraId="35E0334E"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eastAsia="es-MX"/>
        </w:rPr>
      </w:pPr>
      <w:proofErr w:type="spellStart"/>
      <w:r w:rsidRPr="007A4032">
        <w:rPr>
          <w:rFonts w:ascii="Times New Roman" w:eastAsia="Times New Roman" w:hAnsi="Times New Roman" w:cs="Times New Roman"/>
          <w:b/>
          <w:bCs/>
          <w:color w:val="0F2D52"/>
          <w:sz w:val="32"/>
          <w:szCs w:val="36"/>
          <w:lang w:eastAsia="es-MX"/>
        </w:rPr>
        <w:t>Consent</w:t>
      </w:r>
      <w:proofErr w:type="spellEnd"/>
      <w:r w:rsidRPr="007A4032">
        <w:rPr>
          <w:rFonts w:ascii="Times New Roman" w:eastAsia="Times New Roman" w:hAnsi="Times New Roman" w:cs="Times New Roman"/>
          <w:b/>
          <w:bCs/>
          <w:color w:val="0F2D52"/>
          <w:sz w:val="32"/>
          <w:szCs w:val="36"/>
          <w:lang w:eastAsia="es-MX"/>
        </w:rPr>
        <w:t xml:space="preserve"> </w:t>
      </w:r>
      <w:proofErr w:type="spellStart"/>
      <w:r w:rsidRPr="007A4032">
        <w:rPr>
          <w:rFonts w:ascii="Times New Roman" w:eastAsia="Times New Roman" w:hAnsi="Times New Roman" w:cs="Times New Roman"/>
          <w:b/>
          <w:bCs/>
          <w:color w:val="0F2D52"/>
          <w:sz w:val="32"/>
          <w:szCs w:val="36"/>
          <w:lang w:eastAsia="es-MX"/>
        </w:rPr>
        <w:t>Process</w:t>
      </w:r>
      <w:proofErr w:type="spellEnd"/>
      <w:r w:rsidRPr="007A4032">
        <w:rPr>
          <w:rFonts w:ascii="Times New Roman" w:eastAsia="Times New Roman" w:hAnsi="Times New Roman" w:cs="Times New Roman"/>
          <w:b/>
          <w:bCs/>
          <w:color w:val="0F2D52"/>
          <w:sz w:val="32"/>
          <w:szCs w:val="36"/>
          <w:lang w:eastAsia="es-MX"/>
        </w:rPr>
        <w:t xml:space="preserve"> </w:t>
      </w:r>
      <w:proofErr w:type="spellStart"/>
      <w:r w:rsidRPr="007A4032">
        <w:rPr>
          <w:rFonts w:ascii="Times New Roman" w:eastAsia="Times New Roman" w:hAnsi="Times New Roman" w:cs="Times New Roman"/>
          <w:b/>
          <w:bCs/>
          <w:color w:val="0F2D52"/>
          <w:sz w:val="32"/>
          <w:szCs w:val="36"/>
          <w:lang w:eastAsia="es-MX"/>
        </w:rPr>
        <w:t>Changes</w:t>
      </w:r>
      <w:proofErr w:type="spellEnd"/>
    </w:p>
    <w:p w14:paraId="751D0ACE" w14:textId="77777777" w:rsidR="007A4032" w:rsidRPr="007A4032" w:rsidRDefault="007A4032" w:rsidP="007A4032">
      <w:pPr>
        <w:numPr>
          <w:ilvl w:val="0"/>
          <w:numId w:val="14"/>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A waiver of informed consent for the secondary use of identifiable private information/biospecimens (not covered by Broad Consent) must justify why the use of identifiers is necessary to carry out the research.</w:t>
      </w:r>
    </w:p>
    <w:p w14:paraId="76346802" w14:textId="77777777" w:rsidR="007A4032" w:rsidRPr="007A4032" w:rsidRDefault="007A4032" w:rsidP="007A4032">
      <w:pPr>
        <w:numPr>
          <w:ilvl w:val="0"/>
          <w:numId w:val="14"/>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Use of identifiable information/biospecimens to identify potential subjects is allowed without informed consent under certain circumstances</w:t>
      </w:r>
    </w:p>
    <w:p w14:paraId="53871993" w14:textId="77777777" w:rsidR="007A4032" w:rsidRPr="007A4032" w:rsidRDefault="007A4032" w:rsidP="007A4032">
      <w:pPr>
        <w:numPr>
          <w:ilvl w:val="0"/>
          <w:numId w:val="14"/>
        </w:numPr>
        <w:shd w:val="clear" w:color="auto" w:fill="FFFFFF"/>
        <w:spacing w:before="100" w:beforeAutospacing="1" w:after="100" w:afterAutospacing="1" w:line="360" w:lineRule="atLeast"/>
        <w:ind w:left="375"/>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For federally sponsored clinical trials, a copy of the consent form must be posted to a “publicly available, federal website” (TBD) post-recruitment and no later than 60 days after the last study visit by any subject.</w:t>
      </w:r>
    </w:p>
    <w:p w14:paraId="00ECF832"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Broad Consent</w:t>
      </w:r>
    </w:p>
    <w:p w14:paraId="1DFA36D6"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UC Merced will not implement Broad Consent, and therefore the related Exemption Categories 7 &amp; 8) at this time. The tracking requirements are overly burdensome.</w:t>
      </w:r>
    </w:p>
    <w:p w14:paraId="23166AB7" w14:textId="77777777" w:rsidR="007A4032" w:rsidRPr="007A4032" w:rsidRDefault="007A4032" w:rsidP="007A4032">
      <w:pPr>
        <w:shd w:val="clear" w:color="auto" w:fill="FFFFFF"/>
        <w:spacing w:before="180" w:after="180" w:line="240" w:lineRule="auto"/>
        <w:outlineLvl w:val="3"/>
        <w:rPr>
          <w:rFonts w:ascii="Arial" w:eastAsia="Times New Roman" w:hAnsi="Arial" w:cs="Arial"/>
          <w:b/>
          <w:bCs/>
          <w:color w:val="0F2D52"/>
          <w:szCs w:val="24"/>
          <w:lang w:val="en-US" w:eastAsia="es-MX"/>
        </w:rPr>
      </w:pPr>
      <w:r w:rsidRPr="007A4032">
        <w:rPr>
          <w:rFonts w:ascii="Times New Roman" w:eastAsia="Times New Roman" w:hAnsi="Times New Roman" w:cs="Times New Roman"/>
          <w:b/>
          <w:bCs/>
          <w:color w:val="0F2D52"/>
          <w:sz w:val="32"/>
          <w:szCs w:val="36"/>
          <w:lang w:val="en-US" w:eastAsia="es-MX"/>
        </w:rPr>
        <w:t>Transition Process</w:t>
      </w:r>
    </w:p>
    <w:p w14:paraId="2E08AB96"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CONSENT TEMPLATES</w:t>
      </w:r>
    </w:p>
    <w:p w14:paraId="1DAB650F"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2018 Common Rule consent templates are available at our </w:t>
      </w:r>
      <w:proofErr w:type="spellStart"/>
      <w:r w:rsidRPr="007A4032">
        <w:rPr>
          <w:rFonts w:ascii="Times New Roman" w:eastAsia="Times New Roman" w:hAnsi="Times New Roman" w:cs="Times New Roman"/>
          <w:color w:val="323336"/>
          <w:szCs w:val="24"/>
          <w:lang w:eastAsia="es-MX"/>
        </w:rPr>
        <w:fldChar w:fldCharType="begin"/>
      </w:r>
      <w:proofErr w:type="spellEnd"/>
      <w:r w:rsidRPr="007A4032">
        <w:rPr>
          <w:rFonts w:ascii="Times New Roman" w:eastAsia="Times New Roman" w:hAnsi="Times New Roman" w:cs="Times New Roman"/>
          <w:color w:val="323336"/>
          <w:szCs w:val="24"/>
          <w:lang w:val="en-US" w:eastAsia="es-MX"/>
        </w:rPr>
        <w:instrText xml:space="preserve"> HYPERLINK "https://rci.ucmerced.edu/irb/resources/forms" </w:instrText>
      </w:r>
      <w:proofErr w:type="spellStart"/>
      <w:r w:rsidRPr="007A4032">
        <w:rPr>
          <w:rFonts w:ascii="Times New Roman" w:eastAsia="Times New Roman" w:hAnsi="Times New Roman" w:cs="Times New Roman"/>
          <w:color w:val="323336"/>
          <w:szCs w:val="24"/>
          <w:lang w:eastAsia="es-MX"/>
        </w:rPr>
        <w:fldChar w:fldCharType="separate"/>
      </w:r>
      <w:proofErr w:type="spellEnd"/>
      <w:r w:rsidRPr="007A4032">
        <w:rPr>
          <w:rFonts w:ascii="Times New Roman" w:eastAsia="Times New Roman" w:hAnsi="Times New Roman" w:cs="Times New Roman"/>
          <w:b/>
          <w:bCs/>
          <w:color w:val="0F2D52"/>
          <w:szCs w:val="24"/>
          <w:u w:val="single"/>
          <w:lang w:val="en-US" w:eastAsia="es-MX"/>
        </w:rPr>
        <w:t>Forms website</w:t>
      </w:r>
      <w:r w:rsidRPr="007A4032">
        <w:rPr>
          <w:rFonts w:ascii="Times New Roman" w:eastAsia="Times New Roman" w:hAnsi="Times New Roman" w:cs="Times New Roman"/>
          <w:color w:val="323336"/>
          <w:szCs w:val="24"/>
          <w:lang w:eastAsia="es-MX"/>
        </w:rPr>
        <w:fldChar w:fldCharType="end"/>
      </w:r>
      <w:r w:rsidRPr="007A4032">
        <w:rPr>
          <w:rFonts w:ascii="Times New Roman" w:eastAsia="Times New Roman" w:hAnsi="Times New Roman" w:cs="Times New Roman"/>
          <w:color w:val="323336"/>
          <w:szCs w:val="24"/>
          <w:lang w:val="en-US" w:eastAsia="es-MX"/>
        </w:rPr>
        <w:t>.</w:t>
      </w:r>
    </w:p>
    <w:p w14:paraId="5350BE3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STUDIES</w:t>
      </w:r>
    </w:p>
    <w:p w14:paraId="5B9D0F70"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Existing studies will not transition to the 2018 Common Rule unless they receive federal funding after January 21, 2019 or if agreed upon by the IRB and researcher. If the study transitions to the 2018 Common Rule, the informed consent forms will need to be revised for studies actively enrolling new subjects.</w:t>
      </w:r>
    </w:p>
    <w:p w14:paraId="336635AC"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NEW STUDIES</w:t>
      </w:r>
    </w:p>
    <w:p w14:paraId="7325D63B" w14:textId="77777777" w:rsidR="007A4032" w:rsidRPr="007A4032" w:rsidRDefault="007A4032" w:rsidP="007A4032">
      <w:pPr>
        <w:shd w:val="clear" w:color="auto" w:fill="FFFFFF"/>
        <w:spacing w:after="180" w:line="240" w:lineRule="auto"/>
        <w:rPr>
          <w:rFonts w:ascii="Arial" w:eastAsia="Times New Roman" w:hAnsi="Arial" w:cs="Arial"/>
          <w:color w:val="323336"/>
          <w:szCs w:val="24"/>
          <w:lang w:val="en-US" w:eastAsia="es-MX"/>
        </w:rPr>
      </w:pPr>
      <w:r w:rsidRPr="007A4032">
        <w:rPr>
          <w:rFonts w:ascii="Times New Roman" w:eastAsia="Times New Roman" w:hAnsi="Times New Roman" w:cs="Times New Roman"/>
          <w:color w:val="323336"/>
          <w:szCs w:val="24"/>
          <w:lang w:val="en-US" w:eastAsia="es-MX"/>
        </w:rPr>
        <w:t>New studies submitted after January 21, 2019 must utilize an updated informed consent template.</w:t>
      </w:r>
    </w:p>
    <w:p w14:paraId="40CDF501" w14:textId="77777777" w:rsidR="007A4032" w:rsidRPr="007A4032" w:rsidRDefault="007A4032">
      <w:pPr>
        <w:rPr>
          <w:lang w:val="en-US"/>
        </w:rPr>
      </w:pPr>
    </w:p>
    <w:sectPr w:rsidR="007A4032" w:rsidRPr="007A4032" w:rsidSect="00EB08C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8D9"/>
    <w:multiLevelType w:val="multilevel"/>
    <w:tmpl w:val="C7E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927"/>
    <w:multiLevelType w:val="multilevel"/>
    <w:tmpl w:val="969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659DD"/>
    <w:multiLevelType w:val="multilevel"/>
    <w:tmpl w:val="5AD2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530C0"/>
    <w:multiLevelType w:val="multilevel"/>
    <w:tmpl w:val="EE8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02091"/>
    <w:multiLevelType w:val="multilevel"/>
    <w:tmpl w:val="41781F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82A44B3"/>
    <w:multiLevelType w:val="multilevel"/>
    <w:tmpl w:val="6F7A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53BA5"/>
    <w:multiLevelType w:val="multilevel"/>
    <w:tmpl w:val="E5B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A23C5E"/>
    <w:multiLevelType w:val="multilevel"/>
    <w:tmpl w:val="5C2A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C46576"/>
    <w:multiLevelType w:val="multilevel"/>
    <w:tmpl w:val="356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20EAF"/>
    <w:multiLevelType w:val="multilevel"/>
    <w:tmpl w:val="FCD4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23B92"/>
    <w:multiLevelType w:val="multilevel"/>
    <w:tmpl w:val="06289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A010837"/>
    <w:multiLevelType w:val="multilevel"/>
    <w:tmpl w:val="ABDC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0416D"/>
    <w:multiLevelType w:val="multilevel"/>
    <w:tmpl w:val="493E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410E4B"/>
    <w:multiLevelType w:val="multilevel"/>
    <w:tmpl w:val="2CD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
  </w:num>
  <w:num w:numId="4">
    <w:abstractNumId w:val="0"/>
  </w:num>
  <w:num w:numId="5">
    <w:abstractNumId w:val="8"/>
  </w:num>
  <w:num w:numId="6">
    <w:abstractNumId w:val="2"/>
  </w:num>
  <w:num w:numId="7">
    <w:abstractNumId w:val="12"/>
  </w:num>
  <w:num w:numId="8">
    <w:abstractNumId w:val="11"/>
  </w:num>
  <w:num w:numId="9">
    <w:abstractNumId w:val="9"/>
  </w:num>
  <w:num w:numId="10">
    <w:abstractNumId w:val="5"/>
  </w:num>
  <w:num w:numId="11">
    <w:abstractNumId w:val="7"/>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32"/>
    <w:rsid w:val="007A4032"/>
    <w:rsid w:val="008E41CB"/>
    <w:rsid w:val="00CB76B7"/>
    <w:rsid w:val="00EB0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7F23"/>
  <w15:chartTrackingRefBased/>
  <w15:docId w15:val="{1BF3ECBE-9238-4024-A6C2-BCE75EF1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A4032"/>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4032"/>
    <w:rPr>
      <w:rFonts w:ascii="Times New Roman" w:eastAsia="Times New Roman" w:hAnsi="Times New Roman" w:cs="Times New Roman"/>
      <w:b/>
      <w:bCs/>
      <w:sz w:val="24"/>
      <w:szCs w:val="24"/>
      <w:lang w:eastAsia="es-MX"/>
    </w:rPr>
  </w:style>
  <w:style w:type="paragraph" w:styleId="NormalWeb">
    <w:name w:val="Normal (Web)"/>
    <w:basedOn w:val="Normal"/>
    <w:uiPriority w:val="99"/>
    <w:semiHidden/>
    <w:unhideWhenUsed/>
    <w:rsid w:val="007A403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semiHidden/>
    <w:unhideWhenUsed/>
    <w:rsid w:val="007A4032"/>
    <w:rPr>
      <w:color w:val="0000FF"/>
      <w:u w:val="single"/>
    </w:rPr>
  </w:style>
  <w:style w:type="character" w:styleId="Strong">
    <w:name w:val="Strong"/>
    <w:basedOn w:val="DefaultParagraphFont"/>
    <w:uiPriority w:val="22"/>
    <w:qFormat/>
    <w:rsid w:val="007A4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8090">
      <w:bodyDiv w:val="1"/>
      <w:marLeft w:val="0"/>
      <w:marRight w:val="0"/>
      <w:marTop w:val="0"/>
      <w:marBottom w:val="0"/>
      <w:divBdr>
        <w:top w:val="none" w:sz="0" w:space="0" w:color="auto"/>
        <w:left w:val="none" w:sz="0" w:space="0" w:color="auto"/>
        <w:bottom w:val="none" w:sz="0" w:space="0" w:color="auto"/>
        <w:right w:val="none" w:sz="0" w:space="0" w:color="auto"/>
      </w:divBdr>
    </w:div>
    <w:div w:id="983045559">
      <w:bodyDiv w:val="1"/>
      <w:marLeft w:val="0"/>
      <w:marRight w:val="0"/>
      <w:marTop w:val="0"/>
      <w:marBottom w:val="0"/>
      <w:divBdr>
        <w:top w:val="none" w:sz="0" w:space="0" w:color="auto"/>
        <w:left w:val="none" w:sz="0" w:space="0" w:color="auto"/>
        <w:bottom w:val="none" w:sz="0" w:space="0" w:color="auto"/>
        <w:right w:val="none" w:sz="0" w:space="0" w:color="auto"/>
      </w:divBdr>
    </w:div>
    <w:div w:id="20493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hs.gov/ohrp/regulations-and-policy/regulations/45-cfr-46/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1439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andres botello lomeli</dc:creator>
  <cp:keywords/>
  <dc:description/>
  <cp:lastModifiedBy>marco andres botello lomeli</cp:lastModifiedBy>
  <cp:revision>1</cp:revision>
  <dcterms:created xsi:type="dcterms:W3CDTF">2024-04-19T04:07:00Z</dcterms:created>
  <dcterms:modified xsi:type="dcterms:W3CDTF">2024-04-19T04:13:00Z</dcterms:modified>
</cp:coreProperties>
</file>