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1E6A" w14:textId="77777777" w:rsidR="0091230C" w:rsidRDefault="00000000">
      <w:pPr>
        <w:spacing w:before="76"/>
        <w:ind w:left="120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California,</w:t>
      </w:r>
      <w:r>
        <w:rPr>
          <w:b/>
          <w:spacing w:val="-2"/>
          <w:sz w:val="24"/>
        </w:rPr>
        <w:t xml:space="preserve"> Merced</w:t>
      </w:r>
    </w:p>
    <w:p w14:paraId="1DAE8DBE" w14:textId="77777777" w:rsidR="0091230C" w:rsidRDefault="0091230C">
      <w:pPr>
        <w:pStyle w:val="BodyText"/>
        <w:rPr>
          <w:b/>
        </w:rPr>
      </w:pPr>
    </w:p>
    <w:p w14:paraId="4C808591" w14:textId="77777777" w:rsidR="0091230C" w:rsidRDefault="00000000">
      <w:pPr>
        <w:ind w:left="120" w:right="4696"/>
        <w:rPr>
          <w:b/>
          <w:sz w:val="24"/>
        </w:rPr>
      </w:pPr>
      <w:r>
        <w:rPr>
          <w:b/>
          <w:sz w:val="24"/>
        </w:rPr>
        <w:t>Title: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IRB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Initial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Review SOP # 6</w:t>
      </w:r>
    </w:p>
    <w:p w14:paraId="7990F9D1" w14:textId="0A144CFC" w:rsidR="0091230C" w:rsidRDefault="00000000">
      <w:pPr>
        <w:spacing w:before="1"/>
        <w:ind w:left="120" w:right="5267"/>
        <w:rPr>
          <w:b/>
          <w:sz w:val="24"/>
        </w:rPr>
      </w:pPr>
      <w:r>
        <w:rPr>
          <w:b/>
          <w:sz w:val="24"/>
        </w:rPr>
        <w:t>Department: Office of Research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Original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Publication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Sept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24,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2007 Revision Dates:</w:t>
      </w:r>
      <w:r w:rsidR="006569FF">
        <w:rPr>
          <w:b/>
          <w:sz w:val="24"/>
        </w:rPr>
        <w:t xml:space="preserve"> Oct 23, 2023</w:t>
      </w:r>
    </w:p>
    <w:p w14:paraId="49CCC794" w14:textId="77777777" w:rsidR="0091230C" w:rsidRDefault="0091230C">
      <w:pPr>
        <w:pStyle w:val="BodyText"/>
        <w:spacing w:before="6"/>
        <w:rPr>
          <w:b/>
          <w:sz w:val="23"/>
        </w:rPr>
      </w:pPr>
    </w:p>
    <w:p w14:paraId="50114DF5" w14:textId="77777777" w:rsidR="0091230C" w:rsidRDefault="00000000">
      <w:pPr>
        <w:ind w:left="120"/>
        <w:rPr>
          <w:sz w:val="24"/>
        </w:rPr>
      </w:pPr>
      <w:r>
        <w:rPr>
          <w:b/>
          <w:sz w:val="24"/>
        </w:rPr>
        <w:t>Subject: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42E89E00" w14:textId="77777777" w:rsidR="0091230C" w:rsidRDefault="00000000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CF2769" wp14:editId="6627CBFF">
                <wp:simplePos x="0" y="0"/>
                <wp:positionH relativeFrom="page">
                  <wp:posOffset>914400</wp:posOffset>
                </wp:positionH>
                <wp:positionV relativeFrom="paragraph">
                  <wp:posOffset>211270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7FC3" id="Graphic 1" o:spid="_x0000_s1026" style="position:absolute;margin-left:1in;margin-top:16.65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" path="m,l5791200,e" filled="f">
                <v:path arrowok="t"/>
                <w10:wrap type="topAndBottom" anchorx="page"/>
              </v:shape>
            </w:pict>
          </mc:Fallback>
        </mc:AlternateContent>
      </w:r>
    </w:p>
    <w:p w14:paraId="71023259" w14:textId="77777777" w:rsidR="0091230C" w:rsidRDefault="0091230C">
      <w:pPr>
        <w:pStyle w:val="BodyText"/>
        <w:rPr>
          <w:sz w:val="26"/>
        </w:rPr>
      </w:pPr>
    </w:p>
    <w:p w14:paraId="7C52840D" w14:textId="77777777" w:rsidR="0091230C" w:rsidRDefault="00000000">
      <w:pPr>
        <w:spacing w:before="194" w:line="274" w:lineRule="exact"/>
        <w:ind w:left="120"/>
        <w:rPr>
          <w:b/>
          <w:sz w:val="24"/>
        </w:rPr>
      </w:pPr>
      <w:r>
        <w:rPr>
          <w:b/>
          <w:spacing w:val="-2"/>
          <w:sz w:val="24"/>
        </w:rPr>
        <w:t>Policy</w:t>
      </w:r>
    </w:p>
    <w:p w14:paraId="04A0F384" w14:textId="77777777" w:rsidR="0091230C" w:rsidRDefault="00000000">
      <w:pPr>
        <w:pStyle w:val="BodyText"/>
        <w:ind w:left="120" w:right="177"/>
      </w:pPr>
      <w:r>
        <w:t>Federal regulations require that in conducting the initial review of proposed research, IRBs obtain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determinations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t>46.111 (or 21 CFR 56.111 for FDA-regulated research) regarding risks, potential benefits, informed consent, and safeguards for human subjects.</w:t>
      </w:r>
    </w:p>
    <w:p w14:paraId="2DAACE1E" w14:textId="77777777" w:rsidR="0091230C" w:rsidRDefault="0091230C">
      <w:pPr>
        <w:pStyle w:val="BodyText"/>
        <w:spacing w:before="9"/>
        <w:rPr>
          <w:sz w:val="23"/>
        </w:rPr>
      </w:pPr>
    </w:p>
    <w:p w14:paraId="0CB23376" w14:textId="3B70F683" w:rsidR="0091230C" w:rsidRDefault="00000000">
      <w:pPr>
        <w:pStyle w:val="BodyText"/>
        <w:ind w:left="119" w:right="177"/>
      </w:pPr>
      <w:r>
        <w:t>UC</w:t>
      </w:r>
      <w:r w:rsidR="009F79C4">
        <w:t xml:space="preserve"> </w:t>
      </w:r>
      <w:r>
        <w:t>M</w:t>
      </w:r>
      <w:r w:rsidR="009F79C4">
        <w:t>erced</w:t>
      </w:r>
      <w:r>
        <w:t xml:space="preserve"> investigators who conduct research involving human subjects are required to submit an application describing their proposed research to the UC</w:t>
      </w:r>
      <w:r w:rsidR="00535AFE">
        <w:t xml:space="preserve"> </w:t>
      </w:r>
      <w:r>
        <w:t>M</w:t>
      </w:r>
      <w:r w:rsidR="00535AFE">
        <w:t>erced</w:t>
      </w:r>
      <w:r>
        <w:t xml:space="preserve"> IRB, in order to obtain prospective IRB review and approval or </w:t>
      </w:r>
      <w:r w:rsidR="003E7FEB">
        <w:t>S</w:t>
      </w:r>
      <w:r w:rsidR="00C53BDC">
        <w:t>elf-</w:t>
      </w:r>
      <w:r w:rsidR="003E7FEB">
        <w:t>E</w:t>
      </w:r>
      <w:r w:rsidR="00C53BDC">
        <w:t>xemp</w:t>
      </w:r>
      <w:r w:rsidR="003E7FEB">
        <w:t>t</w:t>
      </w:r>
      <w:r w:rsidR="00C53BDC">
        <w:t xml:space="preserve"> </w:t>
      </w:r>
      <w:r w:rsidR="003E7FEB">
        <w:t>A</w:t>
      </w:r>
      <w:r w:rsidR="00C53BDC">
        <w:t>cknowledgement letter</w:t>
      </w:r>
      <w:r>
        <w:t xml:space="preserve"> prior to initiating any research activities.</w:t>
      </w:r>
      <w:r w:rsidR="00EA35EA">
        <w:t xml:space="preserve"> The Self-Exempt Determination Review and Acknowledgement Process is detailed in SOP #15.</w:t>
      </w:r>
      <w:r>
        <w:rPr>
          <w:spacing w:val="-10"/>
        </w:rPr>
        <w:t xml:space="preserve"> </w:t>
      </w:r>
      <w:r>
        <w:t>No intervention or interaction with human subjects in research, including recruitment,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an investigator’s application to conduct human subjects research has received UC</w:t>
      </w:r>
      <w:r w:rsidR="009F79C4">
        <w:t xml:space="preserve"> </w:t>
      </w:r>
      <w:r>
        <w:t>M</w:t>
      </w:r>
      <w:r w:rsidR="009F79C4">
        <w:t>erced</w:t>
      </w:r>
      <w:r>
        <w:t xml:space="preserve"> IRB approval or </w:t>
      </w:r>
      <w:r w:rsidR="006155C9">
        <w:t>Self-Exempt Acknowledgement letter.</w:t>
      </w:r>
    </w:p>
    <w:p w14:paraId="2B6CF230" w14:textId="77777777" w:rsidR="0091230C" w:rsidRDefault="0091230C">
      <w:pPr>
        <w:pStyle w:val="BodyText"/>
      </w:pPr>
    </w:p>
    <w:p w14:paraId="0D93D762" w14:textId="44BA5DC8" w:rsidR="0091230C" w:rsidRDefault="00000000">
      <w:pPr>
        <w:pStyle w:val="BodyText"/>
        <w:ind w:left="119" w:right="177"/>
      </w:pPr>
      <w:r>
        <w:t>The receipt of a complete protocol is the first step in IRB review. Deadlines, ancillary reviews, and signature requirements need to be carefully</w:t>
      </w:r>
      <w:r>
        <w:rPr>
          <w:spacing w:val="-1"/>
        </w:rPr>
        <w:t xml:space="preserve"> </w:t>
      </w:r>
      <w:r>
        <w:t>considered and planned in advance. At the time protocol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received,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submission requirements. The IRB administrative staff also will perform a preliminary review of the protocol and may question the Principal Investigator directly on any concern before the actual IRB review. The </w:t>
      </w:r>
      <w:r w:rsidR="00124FC7">
        <w:t>i</w:t>
      </w:r>
      <w:r>
        <w:t>nvestigator must respond to the comments before the protocol is distributed and reviewed by</w:t>
      </w:r>
      <w:r>
        <w:rPr>
          <w:spacing w:val="-1"/>
        </w:rPr>
        <w:t xml:space="preserve"> </w:t>
      </w:r>
      <w:r>
        <w:t xml:space="preserve">the IRB. To ensure a thorough and complete review, the Principal Investigator should address the following points in </w:t>
      </w:r>
      <w:r w:rsidR="009B26C4">
        <w:t>their</w:t>
      </w:r>
      <w:r>
        <w:t xml:space="preserve"> IRB application:</w:t>
      </w:r>
    </w:p>
    <w:p w14:paraId="7BBA8A10" w14:textId="77777777" w:rsidR="0091230C" w:rsidRDefault="0091230C">
      <w:pPr>
        <w:pStyle w:val="BodyText"/>
      </w:pPr>
    </w:p>
    <w:p w14:paraId="3E4F823F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 protocol summary,</w:t>
      </w:r>
      <w:r>
        <w:rPr>
          <w:spacing w:val="-1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Investigator.</w:t>
      </w:r>
    </w:p>
    <w:p w14:paraId="0B447D3D" w14:textId="77777777" w:rsidR="0091230C" w:rsidRDefault="0091230C">
      <w:pPr>
        <w:pStyle w:val="BodyText"/>
        <w:spacing w:before="11"/>
        <w:rPr>
          <w:sz w:val="23"/>
        </w:rPr>
      </w:pPr>
    </w:p>
    <w:p w14:paraId="5D85322C" w14:textId="32F8646D" w:rsidR="0091230C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840"/>
        </w:tabs>
        <w:ind w:left="840" w:right="250" w:hanging="360"/>
        <w:rPr>
          <w:sz w:val="24"/>
        </w:rPr>
      </w:pPr>
      <w:r>
        <w:rPr>
          <w:sz w:val="24"/>
        </w:rPr>
        <w:t>Sponsor/company</w:t>
      </w:r>
      <w:r>
        <w:rPr>
          <w:spacing w:val="-8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Investigator</w:t>
      </w:r>
      <w:r>
        <w:rPr>
          <w:spacing w:val="-2"/>
          <w:sz w:val="24"/>
        </w:rPr>
        <w:t xml:space="preserve"> </w:t>
      </w:r>
      <w:r>
        <w:rPr>
          <w:sz w:val="24"/>
        </w:rPr>
        <w:t>Brochure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exists)</w:t>
      </w:r>
      <w:r w:rsidR="00AE2926">
        <w:rPr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involves an investigational drug or device. Results of previous animal and human studies which are summarized in the Investigator’s Brochure.</w:t>
      </w:r>
    </w:p>
    <w:p w14:paraId="59E2B7D8" w14:textId="77777777" w:rsidR="0091230C" w:rsidRDefault="0091230C">
      <w:pPr>
        <w:pStyle w:val="BodyText"/>
      </w:pPr>
    </w:p>
    <w:p w14:paraId="69B3CEF4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sponsorship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proposed.</w:t>
      </w:r>
    </w:p>
    <w:p w14:paraId="32175FA7" w14:textId="77777777" w:rsidR="0091230C" w:rsidRDefault="0091230C">
      <w:pPr>
        <w:pStyle w:val="BodyText"/>
      </w:pPr>
    </w:p>
    <w:p w14:paraId="45BD4A8E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documents.</w:t>
      </w:r>
    </w:p>
    <w:p w14:paraId="09E20EF8" w14:textId="77777777" w:rsidR="0091230C" w:rsidRDefault="0091230C">
      <w:pPr>
        <w:rPr>
          <w:sz w:val="24"/>
        </w:rPr>
        <w:sectPr w:rsidR="0091230C" w:rsidSect="00F22715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4064EA5B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840"/>
        </w:tabs>
        <w:spacing w:before="72"/>
        <w:ind w:left="840" w:right="250" w:hanging="360"/>
        <w:rPr>
          <w:sz w:val="24"/>
        </w:rPr>
      </w:pPr>
      <w:r>
        <w:rPr>
          <w:sz w:val="24"/>
        </w:rPr>
        <w:lastRenderedPageBreak/>
        <w:t>Recruitment</w:t>
      </w:r>
      <w:r>
        <w:rPr>
          <w:spacing w:val="-4"/>
          <w:sz w:val="24"/>
        </w:rPr>
        <w:t xml:space="preserve"> </w:t>
      </w:r>
      <w:r>
        <w:rPr>
          <w:sz w:val="24"/>
        </w:rPr>
        <w:t>materials,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advertisements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seen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heard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potential </w:t>
      </w:r>
      <w:r>
        <w:rPr>
          <w:spacing w:val="-2"/>
          <w:sz w:val="24"/>
        </w:rPr>
        <w:t>participants.</w:t>
      </w:r>
    </w:p>
    <w:p w14:paraId="7A7F699D" w14:textId="77777777" w:rsidR="0091230C" w:rsidRDefault="0091230C">
      <w:pPr>
        <w:pStyle w:val="BodyText"/>
      </w:pPr>
    </w:p>
    <w:p w14:paraId="0503B3F6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Participant</w:t>
      </w:r>
      <w:r>
        <w:rPr>
          <w:spacing w:val="-4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procedures.</w:t>
      </w:r>
    </w:p>
    <w:p w14:paraId="7A1B84A8" w14:textId="77777777" w:rsidR="0091230C" w:rsidRDefault="0091230C">
      <w:pPr>
        <w:pStyle w:val="BodyText"/>
      </w:pPr>
    </w:p>
    <w:p w14:paraId="0CBD2C40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Selection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participants.</w:t>
      </w:r>
    </w:p>
    <w:p w14:paraId="5057599B" w14:textId="77777777" w:rsidR="0091230C" w:rsidRDefault="0091230C">
      <w:pPr>
        <w:pStyle w:val="BodyText"/>
      </w:pPr>
    </w:p>
    <w:p w14:paraId="42157EA7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to protect the</w:t>
      </w:r>
      <w:r>
        <w:rPr>
          <w:spacing w:val="-1"/>
          <w:sz w:val="24"/>
        </w:rPr>
        <w:t xml:space="preserve"> </w:t>
      </w:r>
      <w:r>
        <w:rPr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participants.</w:t>
      </w:r>
    </w:p>
    <w:p w14:paraId="4DA8A35C" w14:textId="77777777" w:rsidR="0091230C" w:rsidRDefault="0091230C">
      <w:pPr>
        <w:pStyle w:val="BodyText"/>
      </w:pPr>
    </w:p>
    <w:p w14:paraId="598FE054" w14:textId="77777777" w:rsidR="0091230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data.</w:t>
      </w:r>
    </w:p>
    <w:p w14:paraId="7F9DE388" w14:textId="77777777" w:rsidR="0091230C" w:rsidRDefault="0091230C">
      <w:pPr>
        <w:pStyle w:val="BodyText"/>
      </w:pPr>
    </w:p>
    <w:p w14:paraId="672EE39F" w14:textId="77777777" w:rsidR="0091230C" w:rsidRDefault="00000000">
      <w:pPr>
        <w:pStyle w:val="ListParagraph"/>
        <w:numPr>
          <w:ilvl w:val="0"/>
          <w:numId w:val="1"/>
        </w:numPr>
        <w:tabs>
          <w:tab w:val="left" w:pos="839"/>
        </w:tabs>
        <w:ind w:left="839" w:right="102" w:hanging="360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safeguards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protect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likely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vulnerable to coercion and undue influence.</w:t>
      </w:r>
    </w:p>
    <w:p w14:paraId="0CDF377C" w14:textId="77777777" w:rsidR="0091230C" w:rsidRDefault="0091230C">
      <w:pPr>
        <w:pStyle w:val="BodyText"/>
      </w:pPr>
    </w:p>
    <w:p w14:paraId="63FBCFFD" w14:textId="536B7659" w:rsidR="004C33EA" w:rsidRDefault="00000000" w:rsidP="004C33EA">
      <w:pPr>
        <w:pStyle w:val="BodyText"/>
        <w:ind w:left="119" w:right="177"/>
      </w:pPr>
      <w:r>
        <w:t>All IRB members will receive the same documents for full committee review. However, since the IRB uses a primary/secondary review system, items 2 and 3 above will only be provided to the IRB Chair, primary and secondary reviewers. In cases of expedited review, the IRB Reviewer will receive all documents for review. The regulations specify</w:t>
      </w:r>
      <w:r>
        <w:rPr>
          <w:spacing w:val="-1"/>
        </w:rPr>
        <w:t xml:space="preserve"> </w:t>
      </w:r>
      <w:r>
        <w:t>criteria for IRB review and approval (see IRB Policy “Criteria for Approval”). IRB members must apply these criteria 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regulations.</w:t>
      </w:r>
    </w:p>
    <w:p w14:paraId="61737A22" w14:textId="77777777" w:rsidR="004C33EA" w:rsidRDefault="004C33EA">
      <w:pPr>
        <w:pStyle w:val="BodyText"/>
        <w:ind w:left="119" w:right="163"/>
      </w:pPr>
    </w:p>
    <w:p w14:paraId="3A4F5A84" w14:textId="42816714" w:rsidR="004C33EA" w:rsidRDefault="004C33EA" w:rsidP="004C33EA">
      <w:pPr>
        <w:pStyle w:val="BodyText"/>
        <w:ind w:left="119" w:right="163"/>
      </w:pPr>
      <w:r w:rsidRPr="004C33EA">
        <w:t xml:space="preserve">A tool to assist IRB members in performing an in-depth and thorough review is the </w:t>
      </w:r>
      <w:r w:rsidRPr="004C33EA">
        <w:rPr>
          <w:i/>
        </w:rPr>
        <w:t>IRB Review Evaluation Form</w:t>
      </w:r>
      <w:r w:rsidRPr="004C33EA">
        <w:t>. The form is divided into sections and each section addresses the specific criteria for IRB approval, as specified in the regulations. Additional space</w:t>
      </w:r>
      <w:r>
        <w:t xml:space="preserve"> in Cayuse</w:t>
      </w:r>
      <w:r w:rsidRPr="004C33EA">
        <w:t xml:space="preserve"> is provided so that IRB members can pose questions to investigators. The form is also a quality-control mechanism that ensures that reviewers</w:t>
      </w:r>
      <w:r w:rsidRPr="004C33EA">
        <w:rPr>
          <w:spacing w:val="-3"/>
        </w:rPr>
        <w:t xml:space="preserve"> </w:t>
      </w:r>
      <w:r w:rsidRPr="004C33EA">
        <w:t>have</w:t>
      </w:r>
      <w:r w:rsidRPr="004C33EA">
        <w:rPr>
          <w:spacing w:val="-2"/>
        </w:rPr>
        <w:t xml:space="preserve"> </w:t>
      </w:r>
      <w:r w:rsidRPr="004C33EA">
        <w:t>considered</w:t>
      </w:r>
      <w:r w:rsidRPr="004C33EA">
        <w:rPr>
          <w:spacing w:val="-3"/>
        </w:rPr>
        <w:t xml:space="preserve"> </w:t>
      </w:r>
      <w:r w:rsidRPr="004C33EA">
        <w:t>all</w:t>
      </w:r>
      <w:r w:rsidRPr="004C33EA">
        <w:rPr>
          <w:spacing w:val="-3"/>
        </w:rPr>
        <w:t xml:space="preserve"> </w:t>
      </w:r>
      <w:r w:rsidRPr="004C33EA">
        <w:t>of</w:t>
      </w:r>
      <w:r w:rsidRPr="004C33EA">
        <w:rPr>
          <w:spacing w:val="-4"/>
        </w:rPr>
        <w:t xml:space="preserve"> </w:t>
      </w:r>
      <w:r w:rsidRPr="004C33EA">
        <w:t>the</w:t>
      </w:r>
      <w:r w:rsidRPr="004C33EA">
        <w:rPr>
          <w:spacing w:val="-4"/>
        </w:rPr>
        <w:t xml:space="preserve"> </w:t>
      </w:r>
      <w:r w:rsidRPr="004C33EA">
        <w:t>regulatory</w:t>
      </w:r>
      <w:r w:rsidRPr="004C33EA">
        <w:rPr>
          <w:spacing w:val="-6"/>
        </w:rPr>
        <w:t xml:space="preserve"> </w:t>
      </w:r>
      <w:r w:rsidRPr="004C33EA">
        <w:t>and</w:t>
      </w:r>
      <w:r w:rsidRPr="004C33EA">
        <w:rPr>
          <w:spacing w:val="-3"/>
        </w:rPr>
        <w:t xml:space="preserve"> </w:t>
      </w:r>
      <w:r w:rsidRPr="004C33EA">
        <w:t>institutional</w:t>
      </w:r>
      <w:r w:rsidRPr="004C33EA">
        <w:rPr>
          <w:spacing w:val="-3"/>
        </w:rPr>
        <w:t xml:space="preserve"> </w:t>
      </w:r>
      <w:r w:rsidRPr="004C33EA">
        <w:t>criteria</w:t>
      </w:r>
      <w:r w:rsidRPr="004C33EA">
        <w:rPr>
          <w:spacing w:val="-4"/>
        </w:rPr>
        <w:t xml:space="preserve"> </w:t>
      </w:r>
      <w:r w:rsidRPr="004C33EA">
        <w:t>for</w:t>
      </w:r>
      <w:r w:rsidRPr="004C33EA">
        <w:rPr>
          <w:spacing w:val="-2"/>
        </w:rPr>
        <w:t xml:space="preserve"> </w:t>
      </w:r>
      <w:r w:rsidRPr="004C33EA">
        <w:t>review</w:t>
      </w:r>
      <w:r w:rsidRPr="004C33EA">
        <w:rPr>
          <w:spacing w:val="-4"/>
        </w:rPr>
        <w:t xml:space="preserve"> </w:t>
      </w:r>
      <w:r w:rsidRPr="004C33EA">
        <w:t>and</w:t>
      </w:r>
      <w:r w:rsidRPr="004C33EA">
        <w:rPr>
          <w:spacing w:val="-1"/>
        </w:rPr>
        <w:t xml:space="preserve"> </w:t>
      </w:r>
      <w:r w:rsidRPr="004C33EA">
        <w:t>approval</w:t>
      </w:r>
      <w:r>
        <w:t xml:space="preserve"> and</w:t>
      </w:r>
      <w:r w:rsidRPr="004C33EA">
        <w:t xml:space="preserve"> encourages consistency in the IRB review process</w:t>
      </w:r>
      <w:r>
        <w:t xml:space="preserve">. </w:t>
      </w:r>
    </w:p>
    <w:p w14:paraId="671C2822" w14:textId="77777777" w:rsidR="004C33EA" w:rsidRDefault="004C33EA">
      <w:pPr>
        <w:pStyle w:val="BodyText"/>
        <w:ind w:left="119" w:right="163"/>
      </w:pPr>
    </w:p>
    <w:sectPr w:rsidR="004C33EA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C4812"/>
    <w:multiLevelType w:val="hybridMultilevel"/>
    <w:tmpl w:val="6088CA06"/>
    <w:lvl w:ilvl="0" w:tplc="E460F194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B836AC">
      <w:numFmt w:val="bullet"/>
      <w:lvlText w:val="•"/>
      <w:lvlJc w:val="left"/>
      <w:pPr>
        <w:ind w:left="1606" w:hanging="240"/>
      </w:pPr>
      <w:rPr>
        <w:rFonts w:hint="default"/>
        <w:lang w:val="en-US" w:eastAsia="en-US" w:bidi="ar-SA"/>
      </w:rPr>
    </w:lvl>
    <w:lvl w:ilvl="2" w:tplc="B72A48A8">
      <w:numFmt w:val="bullet"/>
      <w:lvlText w:val="•"/>
      <w:lvlJc w:val="left"/>
      <w:pPr>
        <w:ind w:left="2492" w:hanging="240"/>
      </w:pPr>
      <w:rPr>
        <w:rFonts w:hint="default"/>
        <w:lang w:val="en-US" w:eastAsia="en-US" w:bidi="ar-SA"/>
      </w:rPr>
    </w:lvl>
    <w:lvl w:ilvl="3" w:tplc="A47E09A0">
      <w:numFmt w:val="bullet"/>
      <w:lvlText w:val="•"/>
      <w:lvlJc w:val="left"/>
      <w:pPr>
        <w:ind w:left="3378" w:hanging="240"/>
      </w:pPr>
      <w:rPr>
        <w:rFonts w:hint="default"/>
        <w:lang w:val="en-US" w:eastAsia="en-US" w:bidi="ar-SA"/>
      </w:rPr>
    </w:lvl>
    <w:lvl w:ilvl="4" w:tplc="B272589E">
      <w:numFmt w:val="bullet"/>
      <w:lvlText w:val="•"/>
      <w:lvlJc w:val="left"/>
      <w:pPr>
        <w:ind w:left="4264" w:hanging="240"/>
      </w:pPr>
      <w:rPr>
        <w:rFonts w:hint="default"/>
        <w:lang w:val="en-US" w:eastAsia="en-US" w:bidi="ar-SA"/>
      </w:rPr>
    </w:lvl>
    <w:lvl w:ilvl="5" w:tplc="30987C82">
      <w:numFmt w:val="bullet"/>
      <w:lvlText w:val="•"/>
      <w:lvlJc w:val="left"/>
      <w:pPr>
        <w:ind w:left="5150" w:hanging="240"/>
      </w:pPr>
      <w:rPr>
        <w:rFonts w:hint="default"/>
        <w:lang w:val="en-US" w:eastAsia="en-US" w:bidi="ar-SA"/>
      </w:rPr>
    </w:lvl>
    <w:lvl w:ilvl="6" w:tplc="121C3512">
      <w:numFmt w:val="bullet"/>
      <w:lvlText w:val="•"/>
      <w:lvlJc w:val="left"/>
      <w:pPr>
        <w:ind w:left="6036" w:hanging="240"/>
      </w:pPr>
      <w:rPr>
        <w:rFonts w:hint="default"/>
        <w:lang w:val="en-US" w:eastAsia="en-US" w:bidi="ar-SA"/>
      </w:rPr>
    </w:lvl>
    <w:lvl w:ilvl="7" w:tplc="61F21D86">
      <w:numFmt w:val="bullet"/>
      <w:lvlText w:val="•"/>
      <w:lvlJc w:val="left"/>
      <w:pPr>
        <w:ind w:left="6922" w:hanging="240"/>
      </w:pPr>
      <w:rPr>
        <w:rFonts w:hint="default"/>
        <w:lang w:val="en-US" w:eastAsia="en-US" w:bidi="ar-SA"/>
      </w:rPr>
    </w:lvl>
    <w:lvl w:ilvl="8" w:tplc="1B68AB88">
      <w:numFmt w:val="bullet"/>
      <w:lvlText w:val="•"/>
      <w:lvlJc w:val="left"/>
      <w:pPr>
        <w:ind w:left="7808" w:hanging="240"/>
      </w:pPr>
      <w:rPr>
        <w:rFonts w:hint="default"/>
        <w:lang w:val="en-US" w:eastAsia="en-US" w:bidi="ar-SA"/>
      </w:rPr>
    </w:lvl>
  </w:abstractNum>
  <w:num w:numId="1" w16cid:durableId="72942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30C"/>
    <w:rsid w:val="00124FC7"/>
    <w:rsid w:val="003D40C8"/>
    <w:rsid w:val="003E7FEB"/>
    <w:rsid w:val="00441328"/>
    <w:rsid w:val="004C33EA"/>
    <w:rsid w:val="00535AFE"/>
    <w:rsid w:val="006155C9"/>
    <w:rsid w:val="006569FF"/>
    <w:rsid w:val="0091230C"/>
    <w:rsid w:val="009B26C4"/>
    <w:rsid w:val="009F79C4"/>
    <w:rsid w:val="00AE2926"/>
    <w:rsid w:val="00C53BDC"/>
    <w:rsid w:val="00EA35EA"/>
    <w:rsid w:val="00F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ECAA"/>
  <w15:docId w15:val="{F96CAE2E-2DF5-4C6D-AC32-375472B7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582</Words>
  <Characters>3318</Characters>
  <Application>Microsoft Office Word</Application>
  <DocSecurity>0</DocSecurity>
  <Lines>27</Lines>
  <Paragraphs>7</Paragraphs>
  <ScaleCrop>false</ScaleCrop>
  <Company>UC Merced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Merced</dc:title>
  <dc:creator>dmotton</dc:creator>
  <dc:description/>
  <cp:lastModifiedBy>Rhanda Rylant</cp:lastModifiedBy>
  <cp:revision>14</cp:revision>
  <dcterms:created xsi:type="dcterms:W3CDTF">2023-09-27T17:27:00Z</dcterms:created>
  <dcterms:modified xsi:type="dcterms:W3CDTF">2024-04-09T14:48:00Z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2023-09-27T00:00:00Z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D:20170414180840</vt:lpwstr>
  </property>
</Properties>
</file>